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09A19" w14:textId="77777777" w:rsidR="003E306F" w:rsidRPr="00A6546A" w:rsidRDefault="003E306F" w:rsidP="003E306F">
      <w:pPr>
        <w:ind w:left="1800" w:hanging="1800"/>
        <w:rPr>
          <w:b/>
          <w:sz w:val="24"/>
          <w:szCs w:val="24"/>
        </w:rPr>
      </w:pPr>
      <w:r w:rsidRPr="00A6546A">
        <w:rPr>
          <w:b/>
          <w:sz w:val="24"/>
          <w:szCs w:val="24"/>
        </w:rPr>
        <w:t>3GPP TSG RAN WG1 #9</w:t>
      </w:r>
      <w:r w:rsidR="0021170E">
        <w:rPr>
          <w:b/>
          <w:sz w:val="24"/>
          <w:szCs w:val="24"/>
        </w:rPr>
        <w:t>9</w:t>
      </w:r>
      <w:r w:rsidRPr="00A6546A">
        <w:rPr>
          <w:b/>
          <w:sz w:val="24"/>
          <w:szCs w:val="24"/>
        </w:rPr>
        <w:tab/>
      </w:r>
      <w:r w:rsidRPr="00A6546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              </w:t>
      </w:r>
      <w:r w:rsidR="0021170E">
        <w:rPr>
          <w:b/>
          <w:sz w:val="24"/>
          <w:szCs w:val="24"/>
        </w:rPr>
        <w:t xml:space="preserve">           </w:t>
      </w:r>
      <w:r w:rsidR="0021170E" w:rsidRPr="0021170E">
        <w:rPr>
          <w:b/>
          <w:sz w:val="24"/>
          <w:szCs w:val="24"/>
        </w:rPr>
        <w:t>R1-1912838</w:t>
      </w:r>
    </w:p>
    <w:p w14:paraId="29249590" w14:textId="77777777" w:rsidR="003E306F" w:rsidRDefault="0021170E" w:rsidP="003E306F">
      <w:pPr>
        <w:ind w:left="1800" w:hanging="1800"/>
        <w:rPr>
          <w:b/>
          <w:sz w:val="24"/>
          <w:szCs w:val="24"/>
        </w:rPr>
      </w:pPr>
      <w:r>
        <w:rPr>
          <w:b/>
          <w:sz w:val="24"/>
          <w:szCs w:val="24"/>
        </w:rPr>
        <w:t>Reno</w:t>
      </w:r>
      <w:r w:rsidR="003E306F" w:rsidRPr="00A6546A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NV</w:t>
      </w:r>
      <w:r w:rsidR="003E306F" w:rsidRPr="00A6546A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November</w:t>
      </w:r>
      <w:r w:rsidR="003E306F" w:rsidRPr="00A654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18</w:t>
      </w:r>
      <w:r w:rsidR="003E306F" w:rsidRPr="00A6546A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</w:rPr>
        <w:t>22nd</w:t>
      </w:r>
      <w:r w:rsidR="003E306F" w:rsidRPr="00A6546A">
        <w:rPr>
          <w:b/>
          <w:sz w:val="24"/>
          <w:szCs w:val="24"/>
        </w:rPr>
        <w:t>, 2019</w:t>
      </w:r>
    </w:p>
    <w:p w14:paraId="7B8A7F0A" w14:textId="77777777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0C21D0">
        <w:rPr>
          <w:b/>
          <w:sz w:val="24"/>
          <w:szCs w:val="24"/>
        </w:rPr>
        <w:t>7</w:t>
      </w:r>
      <w:r w:rsidR="00885004">
        <w:rPr>
          <w:b/>
          <w:sz w:val="24"/>
          <w:szCs w:val="24"/>
        </w:rPr>
        <w:t>.</w:t>
      </w:r>
      <w:r w:rsidR="001F02DD">
        <w:rPr>
          <w:b/>
          <w:sz w:val="24"/>
          <w:szCs w:val="24"/>
        </w:rPr>
        <w:t>2.3</w:t>
      </w:r>
      <w:r w:rsidR="008F0D8C">
        <w:rPr>
          <w:b/>
          <w:sz w:val="24"/>
          <w:szCs w:val="24"/>
        </w:rPr>
        <w:t>.</w:t>
      </w:r>
      <w:r w:rsidR="0021170E">
        <w:rPr>
          <w:b/>
          <w:sz w:val="24"/>
          <w:szCs w:val="24"/>
        </w:rPr>
        <w:t>1</w:t>
      </w:r>
    </w:p>
    <w:p w14:paraId="0B3898A6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1544CF15" w14:textId="77777777" w:rsidR="00745452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8F0D8C" w:rsidRPr="008F0D8C">
        <w:rPr>
          <w:b/>
          <w:sz w:val="24"/>
          <w:szCs w:val="24"/>
        </w:rPr>
        <w:t>Mechanisms for supporting access and backhaul link multiplexing</w:t>
      </w:r>
    </w:p>
    <w:p w14:paraId="0BC903A4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399D6818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66AF3F6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C212936" w14:textId="77777777" w:rsidR="003E2741" w:rsidRDefault="003E2741" w:rsidP="003E2741">
      <w:pPr>
        <w:rPr>
          <w:rFonts w:ascii="Calibri" w:eastAsia="Malgun Gothic" w:hAnsi="Calibri" w:cs="Batang"/>
          <w:lang w:val="en-GB" w:eastAsia="ko-KR"/>
        </w:rPr>
      </w:pPr>
      <w:r w:rsidRPr="004131D6">
        <w:rPr>
          <w:rFonts w:ascii="Calibri" w:eastAsia="Malgun Gothic" w:hAnsi="Calibri" w:cs="Batang"/>
          <w:lang w:val="en-GB" w:eastAsia="ko-KR"/>
        </w:rPr>
        <w:t>As part of the Work Item on Integrated Access and Backhaul for NR [1], 3GPP has agreed to support solutions for efficient operation of integrated access and wireless backhaul for NR including the following requirements:</w:t>
      </w:r>
    </w:p>
    <w:p w14:paraId="4F36FD0B" w14:textId="77777777" w:rsidR="003E2741" w:rsidRDefault="003E2741" w:rsidP="003E2741">
      <w:pPr>
        <w:numPr>
          <w:ilvl w:val="0"/>
          <w:numId w:val="19"/>
        </w:numPr>
        <w:spacing w:beforeLines="60" w:before="144" w:afterLines="60" w:after="144" w:line="256" w:lineRule="auto"/>
        <w:jc w:val="left"/>
        <w:rPr>
          <w:rFonts w:asciiTheme="minorHAnsi" w:hAnsiTheme="minorHAnsi"/>
        </w:rPr>
      </w:pPr>
      <w:r>
        <w:t xml:space="preserve">Specification of mechanisms for resource multiplexing among backhaul and access links. This includes: </w:t>
      </w:r>
    </w:p>
    <w:p w14:paraId="0B9675BA" w14:textId="77777777" w:rsidR="003E2741" w:rsidRDefault="003E2741" w:rsidP="003E2741">
      <w:pPr>
        <w:numPr>
          <w:ilvl w:val="1"/>
          <w:numId w:val="19"/>
        </w:numPr>
        <w:spacing w:beforeLines="60" w:before="144" w:afterLines="60" w:after="144" w:line="256" w:lineRule="auto"/>
        <w:jc w:val="left"/>
      </w:pPr>
      <w:r>
        <w:t xml:space="preserve">Specification of semi-static configuration for IAB-node/IAB-donor DU resources in case of TDM operation subject to half-duplex constraint. This shall be forward compatible to allow the support of half-duplex scenarios with FDM and SDM resource sharing among backhaul and access links. </w:t>
      </w:r>
    </w:p>
    <w:p w14:paraId="262F152C" w14:textId="77777777" w:rsidR="003E2741" w:rsidRDefault="003E2741" w:rsidP="003E2741">
      <w:pPr>
        <w:pStyle w:val="ListParagraph"/>
        <w:numPr>
          <w:ilvl w:val="1"/>
          <w:numId w:val="19"/>
        </w:numPr>
        <w:spacing w:beforeLines="60" w:before="144" w:afterLines="60" w:after="144" w:line="256" w:lineRule="auto"/>
        <w:contextualSpacing w:val="0"/>
        <w:jc w:val="left"/>
      </w:pPr>
      <w:r>
        <w:t xml:space="preserve">Specification of time resource types for the DU’s child links: DL hard, DL soft, UL hard, UL soft, Flexible hard, Flexible soft, Not Available </w:t>
      </w:r>
    </w:p>
    <w:p w14:paraId="774C0017" w14:textId="77777777" w:rsidR="003E2741" w:rsidRDefault="003E2741" w:rsidP="003E2741">
      <w:pPr>
        <w:numPr>
          <w:ilvl w:val="1"/>
          <w:numId w:val="19"/>
        </w:numPr>
        <w:spacing w:beforeLines="60" w:before="144" w:afterLines="60" w:after="144" w:line="256" w:lineRule="auto"/>
        <w:jc w:val="left"/>
      </w:pPr>
      <w:r>
        <w:t xml:space="preserve">Specification of dynamic indication (L1 signalling) of the availability of soft resources for a child IAB-node DU </w:t>
      </w:r>
    </w:p>
    <w:p w14:paraId="39AC5AA8" w14:textId="77777777" w:rsidR="003E2741" w:rsidRDefault="003E2741" w:rsidP="003E2741">
      <w:pPr>
        <w:pStyle w:val="ListParagraph"/>
        <w:numPr>
          <w:ilvl w:val="1"/>
          <w:numId w:val="19"/>
        </w:numPr>
        <w:spacing w:beforeLines="60" w:before="144" w:afterLines="60" w:after="144" w:line="256" w:lineRule="auto"/>
        <w:contextualSpacing w:val="0"/>
        <w:jc w:val="left"/>
      </w:pPr>
      <w:r>
        <w:t>Specification of required transmission/reception rules for IAB-nodes and associated behaviours regarding time resource utilization as discussed in TR 38.874 clause 7.3.3.</w:t>
      </w:r>
    </w:p>
    <w:p w14:paraId="241EB2E1" w14:textId="77777777" w:rsidR="003E2741" w:rsidRPr="00C724F1" w:rsidRDefault="003E2741" w:rsidP="003E2741">
      <w:pPr>
        <w:pStyle w:val="maintext"/>
        <w:ind w:firstLineChars="0" w:firstLine="0"/>
        <w:rPr>
          <w:rFonts w:ascii="Calibri" w:hAnsi="Calibri"/>
        </w:rPr>
      </w:pPr>
      <w:r w:rsidRPr="00C724F1">
        <w:rPr>
          <w:rFonts w:ascii="Calibri" w:hAnsi="Calibri"/>
        </w:rPr>
        <w:t xml:space="preserve">This contribution discusses </w:t>
      </w:r>
      <w:r>
        <w:rPr>
          <w:rFonts w:ascii="Calibri" w:hAnsi="Calibri"/>
        </w:rPr>
        <w:t>the design considerations for the multiplexing of access and backhaul links</w:t>
      </w:r>
      <w:r w:rsidRPr="00C724F1">
        <w:rPr>
          <w:rFonts w:ascii="Calibri" w:hAnsi="Calibri"/>
        </w:rPr>
        <w:t>.</w:t>
      </w:r>
    </w:p>
    <w:p w14:paraId="48C11F08" w14:textId="77777777" w:rsidR="00346605" w:rsidRPr="00172743" w:rsidRDefault="00FE4A8C" w:rsidP="00326FF6">
      <w:pPr>
        <w:pStyle w:val="Heading1"/>
      </w:pPr>
      <w:r>
        <w:t>Frame Structure Design for Access and Backhaul Multiplexing</w:t>
      </w:r>
    </w:p>
    <w:p w14:paraId="33D03FB6" w14:textId="77777777" w:rsidR="00C724F1" w:rsidRDefault="00C724F1" w:rsidP="00EE2068">
      <w:pPr>
        <w:pStyle w:val="maintext"/>
        <w:ind w:firstLineChars="0" w:firstLine="0"/>
        <w:rPr>
          <w:rFonts w:ascii="Calibri" w:hAnsi="Calibri"/>
        </w:rPr>
      </w:pPr>
      <w:r w:rsidRPr="00233D70">
        <w:rPr>
          <w:rFonts w:ascii="Calibri" w:hAnsi="Calibri"/>
        </w:rPr>
        <w:t xml:space="preserve">An example of a network with integrated access and backhaul links is shown in Figure 1 below. </w:t>
      </w:r>
      <w:r>
        <w:rPr>
          <w:rFonts w:ascii="Calibri" w:hAnsi="Calibri"/>
        </w:rPr>
        <w:t>T</w:t>
      </w:r>
      <w:r w:rsidRPr="00233D70">
        <w:rPr>
          <w:rFonts w:ascii="Calibri" w:hAnsi="Calibri"/>
        </w:rPr>
        <w:t xml:space="preserve">he operation of the different links may be on the same or different frequencies (also termed ‘in-band’ and ‘out-band’ relays). </w:t>
      </w:r>
      <w:r w:rsidR="00BB5132">
        <w:rPr>
          <w:rFonts w:ascii="Calibri" w:hAnsi="Calibri"/>
        </w:rPr>
        <w:t>Each IAB node</w:t>
      </w:r>
      <w:r w:rsidR="00BB5132" w:rsidRPr="00917D0F">
        <w:rPr>
          <w:rFonts w:ascii="Calibri" w:hAnsi="Calibri"/>
        </w:rPr>
        <w:t xml:space="preserve"> </w:t>
      </w:r>
      <w:r w:rsidR="00BB5132">
        <w:rPr>
          <w:rFonts w:ascii="Calibri" w:hAnsi="Calibri"/>
        </w:rPr>
        <w:t>has</w:t>
      </w:r>
      <w:r w:rsidR="00155BC2">
        <w:rPr>
          <w:rFonts w:ascii="Calibri" w:hAnsi="Calibri"/>
        </w:rPr>
        <w:t xml:space="preserve"> both DU functionality (IAB-DU</w:t>
      </w:r>
      <w:r w:rsidR="00B3707E">
        <w:rPr>
          <w:rFonts w:ascii="Calibri" w:hAnsi="Calibri"/>
        </w:rPr>
        <w:t xml:space="preserve">) </w:t>
      </w:r>
      <w:r w:rsidR="00BB5132" w:rsidRPr="00917D0F">
        <w:rPr>
          <w:rFonts w:ascii="Calibri" w:hAnsi="Calibri"/>
        </w:rPr>
        <w:t xml:space="preserve">as well as </w:t>
      </w:r>
      <w:r w:rsidR="00BB5132">
        <w:rPr>
          <w:rFonts w:ascii="Calibri" w:hAnsi="Calibri"/>
        </w:rPr>
        <w:t>UE</w:t>
      </w:r>
      <w:r w:rsidR="00155BC2">
        <w:rPr>
          <w:rFonts w:ascii="Calibri" w:hAnsi="Calibri"/>
        </w:rPr>
        <w:t>-like</w:t>
      </w:r>
      <w:r w:rsidR="00BB5132">
        <w:rPr>
          <w:rFonts w:ascii="Calibri" w:hAnsi="Calibri"/>
        </w:rPr>
        <w:t xml:space="preserve"> </w:t>
      </w:r>
      <w:r w:rsidR="00BB5132" w:rsidRPr="00917D0F">
        <w:rPr>
          <w:rFonts w:ascii="Calibri" w:hAnsi="Calibri"/>
        </w:rPr>
        <w:t>functionality</w:t>
      </w:r>
      <w:r w:rsidR="00B3707E">
        <w:rPr>
          <w:rFonts w:ascii="Calibri" w:hAnsi="Calibri"/>
        </w:rPr>
        <w:t xml:space="preserve"> (</w:t>
      </w:r>
      <w:r w:rsidR="00155BC2">
        <w:rPr>
          <w:rFonts w:ascii="Calibri" w:hAnsi="Calibri"/>
        </w:rPr>
        <w:t>IAB-MT</w:t>
      </w:r>
      <w:r w:rsidR="00B3707E">
        <w:rPr>
          <w:rFonts w:ascii="Calibri" w:hAnsi="Calibri"/>
        </w:rPr>
        <w:t>)</w:t>
      </w:r>
      <w:r w:rsidR="00BB5132" w:rsidRPr="00917D0F">
        <w:rPr>
          <w:rFonts w:ascii="Calibri" w:hAnsi="Calibri"/>
        </w:rPr>
        <w:t xml:space="preserve">. The relay </w:t>
      </w:r>
      <w:r w:rsidR="00BB5132">
        <w:rPr>
          <w:rFonts w:ascii="Calibri" w:hAnsi="Calibri"/>
        </w:rPr>
        <w:t>is connected to an IAB node</w:t>
      </w:r>
      <w:r w:rsidR="00BB5132" w:rsidRPr="00917D0F">
        <w:rPr>
          <w:rFonts w:ascii="Calibri" w:hAnsi="Calibri"/>
        </w:rPr>
        <w:t xml:space="preserve"> of a higher hop order</w:t>
      </w:r>
      <w:r w:rsidR="00BB5132">
        <w:rPr>
          <w:rFonts w:ascii="Calibri" w:hAnsi="Calibri"/>
        </w:rPr>
        <w:t xml:space="preserve"> </w:t>
      </w:r>
      <w:r w:rsidR="00155BC2">
        <w:rPr>
          <w:rFonts w:ascii="Calibri" w:hAnsi="Calibri"/>
        </w:rPr>
        <w:t xml:space="preserve">in a similar way </w:t>
      </w:r>
      <w:r w:rsidR="00BB5132">
        <w:rPr>
          <w:rFonts w:ascii="Calibri" w:hAnsi="Calibri"/>
        </w:rPr>
        <w:t xml:space="preserve">as a UE, while the IAB node </w:t>
      </w:r>
      <w:r w:rsidR="00BB5132" w:rsidRPr="00917D0F">
        <w:rPr>
          <w:rFonts w:ascii="Calibri" w:hAnsi="Calibri"/>
        </w:rPr>
        <w:t>serves relay UEs inside IAB nodes of lower hop orders or its own access UEs.</w:t>
      </w:r>
    </w:p>
    <w:p w14:paraId="5728FFBC" w14:textId="77777777" w:rsidR="00C11C1A" w:rsidRDefault="00C11C1A" w:rsidP="00EE2068">
      <w:pPr>
        <w:pStyle w:val="maintext"/>
        <w:ind w:firstLineChars="0" w:firstLine="0"/>
        <w:rPr>
          <w:rFonts w:ascii="Calibri" w:hAnsi="Calibri"/>
        </w:rPr>
      </w:pPr>
    </w:p>
    <w:p w14:paraId="5AE7A83C" w14:textId="77777777" w:rsidR="00C724F1" w:rsidRPr="00EC51BC" w:rsidRDefault="00DE2A3F" w:rsidP="00C724F1">
      <w:pPr>
        <w:spacing w:after="60" w:line="288" w:lineRule="auto"/>
        <w:jc w:val="center"/>
        <w:rPr>
          <w:rFonts w:eastAsia="Malgun Gothic" w:cs="Batang"/>
          <w:b/>
          <w:lang w:val="en-GB" w:eastAsia="ko-KR"/>
        </w:rPr>
      </w:pPr>
      <w:r w:rsidRPr="00C724F1">
        <w:rPr>
          <w:rFonts w:eastAsia="Malgun Gothic" w:cs="Batang"/>
          <w:b/>
          <w:noProof/>
        </w:rPr>
        <w:drawing>
          <wp:inline distT="0" distB="0" distL="0" distR="0" wp14:anchorId="4C61F1F2" wp14:editId="648BB28B">
            <wp:extent cx="3712327" cy="1374937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433" cy="141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DF6F1" w14:textId="77777777" w:rsidR="00C724F1" w:rsidRPr="00BB5132" w:rsidRDefault="00C724F1" w:rsidP="00C724F1">
      <w:pPr>
        <w:spacing w:after="240" w:line="360" w:lineRule="auto"/>
        <w:ind w:left="720"/>
        <w:jc w:val="center"/>
        <w:rPr>
          <w:rFonts w:ascii="Calibri" w:hAnsi="Calibri"/>
          <w:b/>
          <w:bCs/>
          <w:sz w:val="22"/>
          <w:lang w:val="en-GB" w:eastAsia="zh-CN"/>
        </w:rPr>
      </w:pPr>
      <w:r w:rsidRPr="00BB5132">
        <w:rPr>
          <w:rFonts w:ascii="Calibri" w:hAnsi="Calibri"/>
          <w:b/>
          <w:bCs/>
          <w:sz w:val="22"/>
          <w:lang w:val="en-GB" w:eastAsia="zh-CN"/>
        </w:rPr>
        <w:t xml:space="preserve">Figure 1: Integrated access and backhaul links </w:t>
      </w:r>
    </w:p>
    <w:p w14:paraId="3AD860D8" w14:textId="5FA31E8F" w:rsidR="00163AD0" w:rsidRPr="00222811" w:rsidRDefault="0073093E" w:rsidP="00163AD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The remaining sections of this document focus on solutions for IAB to enable</w:t>
      </w:r>
      <w:r w:rsidRPr="00233D70">
        <w:rPr>
          <w:rFonts w:ascii="Calibri" w:hAnsi="Calibri"/>
        </w:rPr>
        <w:t xml:space="preserve"> </w:t>
      </w:r>
      <w:r>
        <w:rPr>
          <w:rFonts w:ascii="Calibri" w:hAnsi="Calibri"/>
        </w:rPr>
        <w:t>efficient multiplexing of backhaul and</w:t>
      </w:r>
      <w:r w:rsidRPr="00233D70">
        <w:rPr>
          <w:rFonts w:ascii="Calibri" w:hAnsi="Calibri"/>
        </w:rPr>
        <w:t xml:space="preserve"> access links operating on the same frequency to accommodate</w:t>
      </w:r>
      <w:r>
        <w:rPr>
          <w:rFonts w:ascii="Calibri" w:hAnsi="Calibri"/>
        </w:rPr>
        <w:t xml:space="preserve"> half-</w:t>
      </w:r>
      <w:r w:rsidRPr="00233D70">
        <w:rPr>
          <w:rFonts w:ascii="Calibri" w:hAnsi="Calibri"/>
        </w:rPr>
        <w:t>duplex constraints an</w:t>
      </w:r>
      <w:r>
        <w:rPr>
          <w:rFonts w:ascii="Calibri" w:hAnsi="Calibri"/>
        </w:rPr>
        <w:t>d avoid/mitigate interference</w:t>
      </w:r>
      <w:r w:rsidR="00DC1C0D">
        <w:rPr>
          <w:rFonts w:ascii="Calibri" w:hAnsi="Calibri"/>
        </w:rPr>
        <w:t>.</w:t>
      </w:r>
    </w:p>
    <w:p w14:paraId="1A081B9B" w14:textId="77777777" w:rsidR="007C350F" w:rsidRPr="00163AD0" w:rsidRDefault="00C11C1A" w:rsidP="00163AD0">
      <w:pPr>
        <w:pStyle w:val="Heading2"/>
      </w:pPr>
      <w:r>
        <w:lastRenderedPageBreak/>
        <w:t>New Slot Formats for IAB</w:t>
      </w:r>
    </w:p>
    <w:p w14:paraId="4417DAAE" w14:textId="77777777" w:rsidR="00163AD0" w:rsidRDefault="00163AD0" w:rsidP="00163AD0">
      <w:pPr>
        <w:pStyle w:val="maintext"/>
        <w:ind w:firstLineChars="0" w:firstLine="0"/>
      </w:pPr>
      <w:r>
        <w:t>During RAN1#97 the following agreements were made:</w:t>
      </w:r>
    </w:p>
    <w:p w14:paraId="622D2917" w14:textId="77777777" w:rsidR="00163AD0" w:rsidRDefault="00163AD0" w:rsidP="00163AD0">
      <w:r w:rsidRPr="005C3558">
        <w:rPr>
          <w:highlight w:val="green"/>
        </w:rPr>
        <w:t>Agreements</w:t>
      </w:r>
      <w:r>
        <w:t>:</w:t>
      </w:r>
    </w:p>
    <w:p w14:paraId="798E3610" w14:textId="77777777" w:rsidR="00163AD0" w:rsidRPr="005C3558" w:rsidRDefault="00163AD0" w:rsidP="00163AD0">
      <w:pPr>
        <w:pStyle w:val="maintext"/>
        <w:ind w:firstLineChars="0" w:firstLine="0"/>
        <w:jc w:val="left"/>
        <w:rPr>
          <w:rFonts w:eastAsia="Times New Roman"/>
          <w:lang w:val="en-US" w:eastAsia="en-US"/>
        </w:rPr>
      </w:pPr>
      <w:r w:rsidRPr="005C3558">
        <w:rPr>
          <w:rFonts w:eastAsia="Times New Roman"/>
          <w:lang w:val="en-US" w:eastAsia="en-US"/>
        </w:rPr>
        <w:t>For the semi-static DU resource configuration, the following is supported:</w:t>
      </w:r>
    </w:p>
    <w:p w14:paraId="5FBCF46E" w14:textId="77777777" w:rsidR="00163AD0" w:rsidRPr="005C3558" w:rsidRDefault="00163AD0" w:rsidP="00163AD0">
      <w:pPr>
        <w:pStyle w:val="maintext"/>
        <w:numPr>
          <w:ilvl w:val="0"/>
          <w:numId w:val="26"/>
        </w:numPr>
        <w:ind w:firstLineChars="0"/>
        <w:jc w:val="left"/>
        <w:rPr>
          <w:rFonts w:eastAsia="Times New Roman"/>
          <w:lang w:val="en-US" w:eastAsia="en-US"/>
        </w:rPr>
      </w:pPr>
      <w:r w:rsidRPr="005C3558">
        <w:rPr>
          <w:rFonts w:eastAsia="Times New Roman"/>
          <w:lang w:val="en-US" w:eastAsia="en-US"/>
        </w:rPr>
        <w:t>Indication of D/U/F resources in the semi-static DU resource configuration includes the following:</w:t>
      </w:r>
    </w:p>
    <w:p w14:paraId="6EF9FA19" w14:textId="77777777" w:rsidR="00163AD0" w:rsidRPr="005C3558" w:rsidRDefault="00163AD0" w:rsidP="00163AD0">
      <w:pPr>
        <w:pStyle w:val="maintext"/>
        <w:numPr>
          <w:ilvl w:val="1"/>
          <w:numId w:val="26"/>
        </w:numPr>
        <w:ind w:firstLineChars="0"/>
        <w:jc w:val="left"/>
        <w:rPr>
          <w:rFonts w:eastAsia="Times New Roman"/>
          <w:lang w:val="en-US" w:eastAsia="en-US"/>
        </w:rPr>
      </w:pPr>
      <w:r w:rsidRPr="005C3558">
        <w:rPr>
          <w:rFonts w:eastAsia="Times New Roman"/>
          <w:lang w:val="en-US" w:eastAsia="en-US"/>
        </w:rPr>
        <w:t xml:space="preserve">The flexibility to configure all of the slot patterns and formats supported by the existing Rel-15 </w:t>
      </w:r>
      <w:r w:rsidRPr="005C3558">
        <w:rPr>
          <w:i/>
        </w:rPr>
        <w:t>TDD-UL-DL-Config</w:t>
      </w:r>
      <w:r w:rsidRPr="005C3558">
        <w:t xml:space="preserve"> RRC configurations and slot format table defined in Table 11.1.1-1 in TS38.213</w:t>
      </w:r>
    </w:p>
    <w:p w14:paraId="06FC7EA2" w14:textId="77777777" w:rsidR="00163AD0" w:rsidRPr="005C3558" w:rsidRDefault="00163AD0" w:rsidP="00163AD0">
      <w:pPr>
        <w:pStyle w:val="maintext"/>
        <w:numPr>
          <w:ilvl w:val="2"/>
          <w:numId w:val="26"/>
        </w:numPr>
        <w:ind w:firstLineChars="0"/>
        <w:jc w:val="left"/>
        <w:rPr>
          <w:rFonts w:eastAsia="Times New Roman"/>
          <w:lang w:val="en-US" w:eastAsia="en-US"/>
        </w:rPr>
      </w:pPr>
      <w:r w:rsidRPr="005C3558">
        <w:rPr>
          <w:rFonts w:eastAsia="Times New Roman"/>
          <w:lang w:val="en-US" w:eastAsia="en-US"/>
        </w:rPr>
        <w:t>FFS: additional pattern durations than supported in Rel-15</w:t>
      </w:r>
    </w:p>
    <w:p w14:paraId="1F92AF8C" w14:textId="77777777" w:rsidR="00163AD0" w:rsidRPr="005C3558" w:rsidRDefault="00163AD0" w:rsidP="00163AD0">
      <w:pPr>
        <w:pStyle w:val="maintext"/>
        <w:numPr>
          <w:ilvl w:val="2"/>
          <w:numId w:val="26"/>
        </w:numPr>
        <w:ind w:firstLineChars="0"/>
        <w:jc w:val="left"/>
        <w:rPr>
          <w:rFonts w:eastAsia="Times New Roman"/>
          <w:lang w:val="en-US" w:eastAsia="en-US"/>
        </w:rPr>
      </w:pPr>
      <w:r w:rsidRPr="005C3558">
        <w:rPr>
          <w:rFonts w:eastAsia="Times New Roman"/>
          <w:lang w:val="en-US" w:eastAsia="en-US"/>
        </w:rPr>
        <w:t>FFS: default resources or pattern</w:t>
      </w:r>
    </w:p>
    <w:p w14:paraId="59654528" w14:textId="77777777" w:rsidR="00163AD0" w:rsidRPr="005C3558" w:rsidRDefault="00163AD0" w:rsidP="00163AD0">
      <w:pPr>
        <w:pStyle w:val="maintext"/>
        <w:numPr>
          <w:ilvl w:val="1"/>
          <w:numId w:val="26"/>
        </w:numPr>
        <w:ind w:firstLineChars="0"/>
        <w:jc w:val="left"/>
        <w:rPr>
          <w:rFonts w:eastAsia="Times New Roman"/>
          <w:lang w:val="en-US" w:eastAsia="en-US"/>
        </w:rPr>
      </w:pPr>
      <w:r w:rsidRPr="005C3558">
        <w:rPr>
          <w:rFonts w:eastAsia="Times New Roman"/>
          <w:lang w:val="en-US" w:eastAsia="en-US"/>
        </w:rPr>
        <w:t>New slot formats defined only for IAB nodes (DU and MTs) which begin with uplink slots, uplink symbols, or flexible symbols.</w:t>
      </w:r>
    </w:p>
    <w:p w14:paraId="1D1AEB52" w14:textId="77777777" w:rsidR="00163AD0" w:rsidRPr="005C3558" w:rsidRDefault="00163AD0" w:rsidP="00163AD0">
      <w:pPr>
        <w:pStyle w:val="ListParagraph"/>
        <w:numPr>
          <w:ilvl w:val="2"/>
          <w:numId w:val="26"/>
        </w:numPr>
        <w:rPr>
          <w:rFonts w:ascii="Times New Roman" w:hAnsi="Times New Roman"/>
        </w:rPr>
      </w:pPr>
      <w:r w:rsidRPr="005C3558">
        <w:rPr>
          <w:rFonts w:ascii="Times New Roman" w:hAnsi="Times New Roman"/>
        </w:rPr>
        <w:t>Note: usage of these slot formats should be compatible with Rel-15 access UEs sharing the same link</w:t>
      </w:r>
    </w:p>
    <w:p w14:paraId="2CC26FD3" w14:textId="77777777" w:rsidR="00163AD0" w:rsidRPr="00163AD0" w:rsidRDefault="00163AD0" w:rsidP="00163AD0">
      <w:pPr>
        <w:pStyle w:val="ListParagraph"/>
        <w:numPr>
          <w:ilvl w:val="2"/>
          <w:numId w:val="26"/>
        </w:numPr>
        <w:rPr>
          <w:rFonts w:ascii="Times New Roman" w:hAnsi="Times New Roman"/>
        </w:rPr>
      </w:pPr>
      <w:r w:rsidRPr="005C3558">
        <w:rPr>
          <w:rFonts w:ascii="Times New Roman" w:hAnsi="Times New Roman"/>
        </w:rPr>
        <w:t>FFS: whether these slot formats also need to be included in the MT RRC configuration and/or SFI carried on DCI Format 2_0</w:t>
      </w:r>
    </w:p>
    <w:p w14:paraId="1C5F0CB9" w14:textId="77777777" w:rsidR="00787B23" w:rsidRDefault="00787B23" w:rsidP="007C350F">
      <w:pPr>
        <w:pStyle w:val="maintext"/>
        <w:ind w:firstLineChars="0" w:firstLine="0"/>
        <w:rPr>
          <w:rFonts w:ascii="Calibri" w:hAnsi="Calibri" w:cs="Arial"/>
        </w:rPr>
      </w:pPr>
    </w:p>
    <w:p w14:paraId="6032498C" w14:textId="343DCFC8" w:rsidR="00787B23" w:rsidRDefault="00787B23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t>To support the above agreement, the IAB-MT should apply slot configurations provided in the TDD-UL-DL-Configuration differently than currently described in 38.213:</w:t>
      </w:r>
    </w:p>
    <w:p w14:paraId="25A9F25C" w14:textId="77777777" w:rsidR="00787B23" w:rsidRDefault="00787B23" w:rsidP="00787B23">
      <w:pPr>
        <w:tabs>
          <w:tab w:val="left" w:pos="720"/>
        </w:tabs>
        <w:ind w:left="720"/>
      </w:pPr>
      <w:r>
        <w:t xml:space="preserve">A </w:t>
      </w:r>
      <w:r>
        <w:rPr>
          <w:lang w:eastAsia="zh-CN"/>
        </w:rPr>
        <w:t>slot</w:t>
      </w:r>
      <w:r w:rsidRPr="00190444">
        <w:rPr>
          <w:lang w:eastAsia="zh-CN"/>
        </w:rPr>
        <w:t xml:space="preserve"> configuration</w:t>
      </w:r>
      <w:r>
        <w:rPr>
          <w:lang w:eastAsia="zh-CN"/>
        </w:rPr>
        <w:t xml:space="preserve"> period of </w:t>
      </w:r>
      <w:r w:rsidR="006D1956" w:rsidRPr="00190444">
        <w:rPr>
          <w:noProof/>
          <w:position w:val="-4"/>
        </w:rPr>
        <w:object w:dxaOrig="220" w:dyaOrig="220" w14:anchorId="03C38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0" type="#_x0000_t75" alt="" style="width:14.2pt;height:12.1pt;mso-width-percent:0;mso-height-percent:0;mso-width-percent:0;mso-height-percent:0" o:ole="">
            <v:imagedata r:id="rId9" o:title=""/>
          </v:shape>
          <o:OLEObject Type="Embed" ProgID="Equation.3" ShapeID="_x0000_i1070" DrawAspect="Content" ObjectID="_1634734915" r:id="rId10"/>
        </w:object>
      </w:r>
      <w:r w:rsidRPr="00190444">
        <w:rPr>
          <w:lang w:eastAsia="zh-CN"/>
        </w:rPr>
        <w:t xml:space="preserve"> </w:t>
      </w:r>
      <w:r>
        <w:rPr>
          <w:lang w:eastAsia="zh-CN"/>
        </w:rPr>
        <w:t xml:space="preserve">msec includes </w:t>
      </w:r>
      <w:r w:rsidR="006D1956" w:rsidRPr="00AE370F">
        <w:rPr>
          <w:noProof/>
          <w:position w:val="-6"/>
        </w:rPr>
        <w:object w:dxaOrig="960" w:dyaOrig="300" w14:anchorId="110AE8DB">
          <v:shape id="_x0000_i1069" type="#_x0000_t75" alt="" style="width:43.6pt;height:14.7pt;mso-width-percent:0;mso-height-percent:0;mso-width-percent:0;mso-height-percent:0" o:ole="">
            <v:imagedata r:id="rId11" o:title=""/>
          </v:shape>
          <o:OLEObject Type="Embed" ProgID="Equation.3" ShapeID="_x0000_i1069" DrawAspect="Content" ObjectID="_1634734916" r:id="rId12"/>
        </w:object>
      </w:r>
      <w:r>
        <w:rPr>
          <w:lang w:eastAsia="zh-CN"/>
        </w:rPr>
        <w:t xml:space="preserve"> </w:t>
      </w:r>
      <w:r>
        <w:t xml:space="preserve">slots with SCS configuration </w:t>
      </w:r>
      <w:r w:rsidR="006D1956" w:rsidRPr="00B35E05">
        <w:rPr>
          <w:noProof/>
          <w:position w:val="-10"/>
        </w:rPr>
        <w:object w:dxaOrig="360" w:dyaOrig="300" w14:anchorId="415BF8E4">
          <v:shape id="_x0000_i1068" type="#_x0000_t75" alt="" style="width:22.05pt;height:17.35pt;mso-width-percent:0;mso-height-percent:0;mso-width-percent:0;mso-height-percent:0" o:ole="">
            <v:imagedata r:id="rId13" o:title=""/>
          </v:shape>
          <o:OLEObject Type="Embed" ProgID="Equation.3" ShapeID="_x0000_i1068" DrawAspect="Content" ObjectID="_1634734917" r:id="rId14"/>
        </w:object>
      </w:r>
      <w:r>
        <w:t xml:space="preserve">. From the </w:t>
      </w:r>
      <w:r w:rsidR="006D1956" w:rsidRPr="00AE370F">
        <w:rPr>
          <w:noProof/>
          <w:position w:val="-6"/>
        </w:rPr>
        <w:object w:dxaOrig="200" w:dyaOrig="240" w14:anchorId="375F83EE">
          <v:shape id="_x0000_i1067" type="#_x0000_t75" alt="" style="width:14.2pt;height:12.1pt;mso-width-percent:0;mso-height-percent:0;mso-width-percent:0;mso-height-percent:0" o:ole="">
            <v:imagedata r:id="rId15" o:title=""/>
          </v:shape>
          <o:OLEObject Type="Embed" ProgID="Equation.3" ShapeID="_x0000_i1067" DrawAspect="Content" ObjectID="_1634734918" r:id="rId16"/>
        </w:object>
      </w:r>
      <w:r>
        <w:t xml:space="preserve"> slots, a first </w:t>
      </w:r>
      <w:r w:rsidR="006D1956" w:rsidRPr="00D44682">
        <w:rPr>
          <w:noProof/>
          <w:position w:val="-10"/>
        </w:rPr>
        <w:object w:dxaOrig="420" w:dyaOrig="300" w14:anchorId="672B19E1">
          <v:shape id="_x0000_i1066" type="#_x0000_t75" alt="" style="width:22.05pt;height:18.4pt;mso-width-percent:0;mso-height-percent:0;mso-width-percent:0;mso-height-percent:0" o:ole="">
            <v:imagedata r:id="rId17" o:title=""/>
          </v:shape>
          <o:OLEObject Type="Embed" ProgID="Equation.3" ShapeID="_x0000_i1066" DrawAspect="Content" ObjectID="_1634734919" r:id="rId18"/>
        </w:object>
      </w:r>
      <w:r>
        <w:t xml:space="preserve"> slots include only downlink symbols and a last </w:t>
      </w:r>
      <w:r w:rsidR="006D1956" w:rsidRPr="00D44682">
        <w:rPr>
          <w:noProof/>
          <w:position w:val="-10"/>
        </w:rPr>
        <w:object w:dxaOrig="400" w:dyaOrig="300" w14:anchorId="5EB9C39B">
          <v:shape id="_x0000_i1065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65" DrawAspect="Content" ObjectID="_1634734920" r:id="rId20"/>
        </w:object>
      </w:r>
      <w:r>
        <w:t xml:space="preserve"> slots include only uplink symbols. The </w:t>
      </w:r>
      <w:r w:rsidR="006D1956" w:rsidRPr="00311958">
        <w:rPr>
          <w:noProof/>
          <w:position w:val="-12"/>
        </w:rPr>
        <w:object w:dxaOrig="400" w:dyaOrig="320" w14:anchorId="58B9ABA4">
          <v:shape id="_x0000_i1064" type="#_x0000_t75" alt="" style="width:22.05pt;height:18.4pt;mso-width-percent:0;mso-height-percent:0;mso-width-percent:0;mso-height-percent:0" o:ole="">
            <v:imagedata r:id="rId21" o:title=""/>
          </v:shape>
          <o:OLEObject Type="Embed" ProgID="Equation.3" ShapeID="_x0000_i1064" DrawAspect="Content" ObjectID="_1634734921" r:id="rId22"/>
        </w:object>
      </w:r>
      <w:r>
        <w:t xml:space="preserve"> symbols after the first </w:t>
      </w:r>
      <w:r w:rsidR="006D1956" w:rsidRPr="00D44682">
        <w:rPr>
          <w:noProof/>
          <w:position w:val="-10"/>
        </w:rPr>
        <w:object w:dxaOrig="420" w:dyaOrig="300" w14:anchorId="5A735950">
          <v:shape id="_x0000_i1063" type="#_x0000_t75" alt="" style="width:22.05pt;height:18.4pt;mso-width-percent:0;mso-height-percent:0;mso-width-percent:0;mso-height-percent:0" o:ole="">
            <v:imagedata r:id="rId17" o:title=""/>
          </v:shape>
          <o:OLEObject Type="Embed" ProgID="Equation.3" ShapeID="_x0000_i1063" DrawAspect="Content" ObjectID="_1634734922" r:id="rId23"/>
        </w:object>
      </w:r>
      <w:r>
        <w:t xml:space="preserve"> slots are downlink symbols. The </w:t>
      </w:r>
      <w:r w:rsidR="006D1956" w:rsidRPr="00311958">
        <w:rPr>
          <w:noProof/>
          <w:position w:val="-12"/>
        </w:rPr>
        <w:object w:dxaOrig="380" w:dyaOrig="320" w14:anchorId="3B555F84">
          <v:shape id="_x0000_i1062" type="#_x0000_t75" alt="" style="width:19.45pt;height:18.4pt;mso-width-percent:0;mso-height-percent:0;mso-width-percent:0;mso-height-percent:0" o:ole="">
            <v:imagedata r:id="rId24" o:title=""/>
          </v:shape>
          <o:OLEObject Type="Embed" ProgID="Equation.3" ShapeID="_x0000_i1062" DrawAspect="Content" ObjectID="_1634734923" r:id="rId25"/>
        </w:object>
      </w:r>
      <w:r>
        <w:t xml:space="preserve"> symbols before the last </w:t>
      </w:r>
      <w:r w:rsidR="006D1956" w:rsidRPr="00D44682">
        <w:rPr>
          <w:noProof/>
          <w:position w:val="-10"/>
        </w:rPr>
        <w:object w:dxaOrig="400" w:dyaOrig="300" w14:anchorId="4B6F98EB">
          <v:shape id="_x0000_i1061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61" DrawAspect="Content" ObjectID="_1634734924" r:id="rId26"/>
        </w:object>
      </w:r>
      <w:r>
        <w:t xml:space="preserve"> slots are uplink symbols. The remaining </w:t>
      </w:r>
      <w:r w:rsidR="006D1956" w:rsidRPr="00F42C6C">
        <w:rPr>
          <w:noProof/>
          <w:position w:val="-12"/>
        </w:rPr>
        <w:object w:dxaOrig="2740" w:dyaOrig="360" w14:anchorId="25295FCE">
          <v:shape id="_x0000_i1060" type="#_x0000_t75" alt="" style="width:129.3pt;height:19.45pt;mso-width-percent:0;mso-height-percent:0;mso-width-percent:0;mso-height-percent:0" o:ole="">
            <v:imagedata r:id="rId27" o:title=""/>
          </v:shape>
          <o:OLEObject Type="Embed" ProgID="Equation.3" ShapeID="_x0000_i1060" DrawAspect="Content" ObjectID="_1634734925" r:id="rId28"/>
        </w:object>
      </w:r>
      <w:r>
        <w:t xml:space="preserve"> are flexible symbols. </w:t>
      </w:r>
    </w:p>
    <w:p w14:paraId="7F100C04" w14:textId="119C7A0C" w:rsidR="00787B23" w:rsidRDefault="00787B23" w:rsidP="007C350F">
      <w:pPr>
        <w:pStyle w:val="maintext"/>
        <w:ind w:firstLineChars="0" w:firstLine="0"/>
        <w:rPr>
          <w:rFonts w:ascii="Calibri" w:hAnsi="Calibri" w:cs="Arial"/>
        </w:rPr>
      </w:pPr>
    </w:p>
    <w:p w14:paraId="3B02E23F" w14:textId="41C9A879" w:rsidR="00787B23" w:rsidRPr="00787B23" w:rsidRDefault="00787B23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t xml:space="preserve">Namely the order of the </w:t>
      </w:r>
      <w:r w:rsidR="006D1956" w:rsidRPr="00D44682">
        <w:rPr>
          <w:noProof/>
          <w:position w:val="-10"/>
        </w:rPr>
        <w:object w:dxaOrig="420" w:dyaOrig="300" w14:anchorId="72E5B0CB">
          <v:shape id="_x0000_i1059" type="#_x0000_t75" alt="" style="width:22.05pt;height:18.4pt;mso-width-percent:0;mso-height-percent:0;mso-width-percent:0;mso-height-percent:0" o:ole="">
            <v:imagedata r:id="rId17" o:title=""/>
          </v:shape>
          <o:OLEObject Type="Embed" ProgID="Equation.3" ShapeID="_x0000_i1059" DrawAspect="Content" ObjectID="_1634734926" r:id="rId29"/>
        </w:object>
      </w:r>
      <w:r>
        <w:t xml:space="preserve"> slots</w:t>
      </w:r>
      <w:r>
        <w:t xml:space="preserve"> and </w:t>
      </w:r>
      <w:r w:rsidR="006D1956" w:rsidRPr="00D44682">
        <w:rPr>
          <w:noProof/>
          <w:position w:val="-10"/>
        </w:rPr>
        <w:object w:dxaOrig="400" w:dyaOrig="300" w14:anchorId="344D8E23">
          <v:shape id="_x0000_i1058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58" DrawAspect="Content" ObjectID="_1634734927" r:id="rId30"/>
        </w:object>
      </w:r>
      <w:r>
        <w:t xml:space="preserve"> slots</w:t>
      </w:r>
      <w:r>
        <w:t xml:space="preserve"> should be reversed:</w:t>
      </w:r>
    </w:p>
    <w:p w14:paraId="13BE7A69" w14:textId="06555CC9" w:rsidR="00787B23" w:rsidRDefault="00787B23" w:rsidP="00787B23">
      <w:pPr>
        <w:tabs>
          <w:tab w:val="left" w:pos="720"/>
        </w:tabs>
        <w:ind w:left="720"/>
      </w:pPr>
      <w:r>
        <w:t xml:space="preserve">A </w:t>
      </w:r>
      <w:r>
        <w:rPr>
          <w:lang w:eastAsia="zh-CN"/>
        </w:rPr>
        <w:t>slot</w:t>
      </w:r>
      <w:r w:rsidRPr="00190444">
        <w:rPr>
          <w:lang w:eastAsia="zh-CN"/>
        </w:rPr>
        <w:t xml:space="preserve"> configuration</w:t>
      </w:r>
      <w:r>
        <w:rPr>
          <w:lang w:eastAsia="zh-CN"/>
        </w:rPr>
        <w:t xml:space="preserve"> period of </w:t>
      </w:r>
      <w:r w:rsidR="006D1956" w:rsidRPr="00190444">
        <w:rPr>
          <w:noProof/>
          <w:position w:val="-4"/>
        </w:rPr>
        <w:object w:dxaOrig="220" w:dyaOrig="220" w14:anchorId="0D6AC884">
          <v:shape id="_x0000_i1057" type="#_x0000_t75" alt="" style="width:14.2pt;height:12.1pt;mso-width-percent:0;mso-height-percent:0;mso-width-percent:0;mso-height-percent:0" o:ole="">
            <v:imagedata r:id="rId9" o:title=""/>
          </v:shape>
          <o:OLEObject Type="Embed" ProgID="Equation.3" ShapeID="_x0000_i1057" DrawAspect="Content" ObjectID="_1634734928" r:id="rId31"/>
        </w:object>
      </w:r>
      <w:r w:rsidRPr="00190444">
        <w:rPr>
          <w:lang w:eastAsia="zh-CN"/>
        </w:rPr>
        <w:t xml:space="preserve"> </w:t>
      </w:r>
      <w:r>
        <w:rPr>
          <w:lang w:eastAsia="zh-CN"/>
        </w:rPr>
        <w:t xml:space="preserve">msec includes </w:t>
      </w:r>
      <w:r w:rsidR="006D1956" w:rsidRPr="00AE370F">
        <w:rPr>
          <w:noProof/>
          <w:position w:val="-6"/>
        </w:rPr>
        <w:object w:dxaOrig="960" w:dyaOrig="300" w14:anchorId="618803A7">
          <v:shape id="_x0000_i1056" type="#_x0000_t75" alt="" style="width:43.6pt;height:14.7pt;mso-width-percent:0;mso-height-percent:0;mso-width-percent:0;mso-height-percent:0" o:ole="">
            <v:imagedata r:id="rId11" o:title=""/>
          </v:shape>
          <o:OLEObject Type="Embed" ProgID="Equation.3" ShapeID="_x0000_i1056" DrawAspect="Content" ObjectID="_1634734929" r:id="rId32"/>
        </w:object>
      </w:r>
      <w:r>
        <w:rPr>
          <w:lang w:eastAsia="zh-CN"/>
        </w:rPr>
        <w:t xml:space="preserve"> </w:t>
      </w:r>
      <w:r>
        <w:t xml:space="preserve">slots with SCS configuration </w:t>
      </w:r>
      <w:r w:rsidR="006D1956" w:rsidRPr="00B35E05">
        <w:rPr>
          <w:noProof/>
          <w:position w:val="-10"/>
        </w:rPr>
        <w:object w:dxaOrig="360" w:dyaOrig="300" w14:anchorId="5590C074">
          <v:shape id="_x0000_i1055" type="#_x0000_t75" alt="" style="width:22.05pt;height:17.35pt;mso-width-percent:0;mso-height-percent:0;mso-width-percent:0;mso-height-percent:0" o:ole="">
            <v:imagedata r:id="rId13" o:title=""/>
          </v:shape>
          <o:OLEObject Type="Embed" ProgID="Equation.3" ShapeID="_x0000_i1055" DrawAspect="Content" ObjectID="_1634734930" r:id="rId33"/>
        </w:object>
      </w:r>
      <w:r>
        <w:t xml:space="preserve">. From the </w:t>
      </w:r>
      <w:r w:rsidR="006D1956" w:rsidRPr="00AE370F">
        <w:rPr>
          <w:noProof/>
          <w:position w:val="-6"/>
        </w:rPr>
        <w:object w:dxaOrig="200" w:dyaOrig="240" w14:anchorId="3FA12EFC">
          <v:shape id="_x0000_i1054" type="#_x0000_t75" alt="" style="width:14.2pt;height:12.1pt;mso-width-percent:0;mso-height-percent:0;mso-width-percent:0;mso-height-percent:0" o:ole="">
            <v:imagedata r:id="rId15" o:title=""/>
          </v:shape>
          <o:OLEObject Type="Embed" ProgID="Equation.3" ShapeID="_x0000_i1054" DrawAspect="Content" ObjectID="_1634734931" r:id="rId34"/>
        </w:object>
      </w:r>
      <w:r>
        <w:t xml:space="preserve"> slots, a first </w:t>
      </w:r>
      <w:r w:rsidR="006D1956" w:rsidRPr="00D44682">
        <w:rPr>
          <w:noProof/>
          <w:position w:val="-10"/>
        </w:rPr>
        <w:object w:dxaOrig="400" w:dyaOrig="300" w14:anchorId="2487BE7C">
          <v:shape id="_x0000_i1053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53" DrawAspect="Content" ObjectID="_1634734933" r:id="rId35"/>
        </w:object>
      </w:r>
      <w:r>
        <w:t xml:space="preserve"> slots include only </w:t>
      </w:r>
      <w:r>
        <w:t>uplink</w:t>
      </w:r>
      <w:r>
        <w:t xml:space="preserve"> symbols and a last </w:t>
      </w:r>
      <w:r w:rsidR="006D1956" w:rsidRPr="00D44682">
        <w:rPr>
          <w:noProof/>
          <w:position w:val="-10"/>
        </w:rPr>
        <w:pict w14:anchorId="4D1314D7">
          <v:shape id="_x0000_i1052" type="#_x0000_t75" alt="" style="width:22.05pt;height:18.4pt;mso-width-percent:0;mso-height-percent:0;mso-width-percent:0;mso-height-percent:0">
            <v:imagedata r:id="rId17" o:title=""/>
          </v:shape>
        </w:pict>
      </w:r>
      <w:r>
        <w:t xml:space="preserve"> slots include only </w:t>
      </w:r>
      <w:r>
        <w:t>downlink</w:t>
      </w:r>
      <w:r>
        <w:t xml:space="preserve"> symbols. The </w:t>
      </w:r>
      <w:r w:rsidR="006D1956" w:rsidRPr="00311958">
        <w:rPr>
          <w:noProof/>
          <w:position w:val="-12"/>
        </w:rPr>
        <w:object w:dxaOrig="380" w:dyaOrig="320" w14:anchorId="3E23651C">
          <v:shape id="_x0000_i1051" type="#_x0000_t75" alt="" style="width:19.45pt;height:18.4pt;mso-width-percent:0;mso-height-percent:0;mso-width-percent:0;mso-height-percent:0" o:ole="">
            <v:imagedata r:id="rId24" o:title=""/>
          </v:shape>
          <o:OLEObject Type="Embed" ProgID="Equation.3" ShapeID="_x0000_i1051" DrawAspect="Content" ObjectID="_1634734934" r:id="rId36"/>
        </w:object>
      </w:r>
      <w:r>
        <w:t xml:space="preserve"> symbols </w:t>
      </w:r>
      <w:r>
        <w:t>after</w:t>
      </w:r>
      <w:r>
        <w:t xml:space="preserve"> the </w:t>
      </w:r>
      <w:r>
        <w:t>first</w:t>
      </w:r>
      <w:r>
        <w:t xml:space="preserve"> </w:t>
      </w:r>
      <w:r w:rsidR="006D1956" w:rsidRPr="00D44682">
        <w:rPr>
          <w:noProof/>
          <w:position w:val="-10"/>
        </w:rPr>
        <w:object w:dxaOrig="400" w:dyaOrig="300" w14:anchorId="3C178825">
          <v:shape id="_x0000_i1050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50" DrawAspect="Content" ObjectID="_1634734935" r:id="rId37"/>
        </w:object>
      </w:r>
      <w:r>
        <w:t xml:space="preserve"> slots are uplink symbols.</w:t>
      </w:r>
      <w:r>
        <w:t xml:space="preserve"> </w:t>
      </w:r>
      <w:r>
        <w:t xml:space="preserve">The </w:t>
      </w:r>
      <w:r w:rsidR="006D1956" w:rsidRPr="00311958">
        <w:rPr>
          <w:noProof/>
          <w:position w:val="-12"/>
        </w:rPr>
        <w:object w:dxaOrig="400" w:dyaOrig="320" w14:anchorId="0283DC07">
          <v:shape id="_x0000_i1049" type="#_x0000_t75" alt="" style="width:22.05pt;height:18.4pt;mso-width-percent:0;mso-height-percent:0;mso-width-percent:0;mso-height-percent:0" o:ole="">
            <v:imagedata r:id="rId21" o:title=""/>
          </v:shape>
          <o:OLEObject Type="Embed" ProgID="Equation.3" ShapeID="_x0000_i1049" DrawAspect="Content" ObjectID="_1634734936" r:id="rId38"/>
        </w:object>
      </w:r>
      <w:r>
        <w:t xml:space="preserve"> symbols </w:t>
      </w:r>
      <w:r>
        <w:t>before</w:t>
      </w:r>
      <w:r>
        <w:t xml:space="preserve"> the </w:t>
      </w:r>
      <w:r>
        <w:t>last</w:t>
      </w:r>
      <w:r>
        <w:t xml:space="preserve"> </w:t>
      </w:r>
      <w:r w:rsidR="006D1956" w:rsidRPr="00D44682">
        <w:rPr>
          <w:noProof/>
          <w:position w:val="-10"/>
        </w:rPr>
        <w:object w:dxaOrig="420" w:dyaOrig="300" w14:anchorId="702F911C">
          <v:shape id="_x0000_i1048" type="#_x0000_t75" alt="" style="width:22.05pt;height:18.4pt;mso-width-percent:0;mso-height-percent:0;mso-width-percent:0;mso-height-percent:0" o:ole="">
            <v:imagedata r:id="rId17" o:title=""/>
          </v:shape>
          <o:OLEObject Type="Embed" ProgID="Equation.3" ShapeID="_x0000_i1048" DrawAspect="Content" ObjectID="_1634734937" r:id="rId39"/>
        </w:object>
      </w:r>
      <w:r>
        <w:t xml:space="preserve"> slots are downlink symbols. The remaining </w:t>
      </w:r>
      <w:r w:rsidR="006D1956" w:rsidRPr="00F42C6C">
        <w:rPr>
          <w:noProof/>
          <w:position w:val="-12"/>
        </w:rPr>
        <w:object w:dxaOrig="2740" w:dyaOrig="360" w14:anchorId="129D3732">
          <v:shape id="_x0000_i1047" type="#_x0000_t75" alt="" style="width:129.3pt;height:19.45pt;mso-width-percent:0;mso-height-percent:0;mso-width-percent:0;mso-height-percent:0" o:ole="">
            <v:imagedata r:id="rId27" o:title=""/>
          </v:shape>
          <o:OLEObject Type="Embed" ProgID="Equation.3" ShapeID="_x0000_i1047" DrawAspect="Content" ObjectID="_1634734938" r:id="rId40"/>
        </w:object>
      </w:r>
      <w:r>
        <w:t xml:space="preserve"> are flexible symbols. </w:t>
      </w:r>
    </w:p>
    <w:p w14:paraId="13D5361B" w14:textId="77777777" w:rsidR="00245C2C" w:rsidRDefault="00245C2C" w:rsidP="00787B23">
      <w:pPr>
        <w:tabs>
          <w:tab w:val="left" w:pos="720"/>
        </w:tabs>
        <w:ind w:left="720"/>
      </w:pPr>
    </w:p>
    <w:p w14:paraId="44031DE6" w14:textId="4F8EC5C0" w:rsidR="00DC1C0D" w:rsidRDefault="00245C2C" w:rsidP="007C350F">
      <w:pPr>
        <w:pStyle w:val="maintext"/>
        <w:ind w:firstLineChars="0" w:firstLine="0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 xml:space="preserve">Proposal </w:t>
      </w:r>
      <w:r>
        <w:rPr>
          <w:rFonts w:ascii="Calibri" w:hAnsi="Calibri" w:cs="Arial"/>
          <w:b/>
          <w:bCs/>
        </w:rPr>
        <w:t>1</w:t>
      </w:r>
      <w:r>
        <w:rPr>
          <w:rFonts w:ascii="Calibri" w:hAnsi="Calibri" w:cs="Arial"/>
          <w:b/>
          <w:bCs/>
        </w:rPr>
        <w:t>:</w:t>
      </w:r>
      <w:r>
        <w:rPr>
          <w:rFonts w:ascii="Calibri" w:hAnsi="Calibri" w:cs="Arial"/>
          <w:b/>
          <w:bCs/>
        </w:rPr>
        <w:t xml:space="preserve"> For IAB-MTs, in addition to the existing slot configuration period definition in 38.213, a new slot configuration period which supports UL-F-D patterns should be defined as the following: </w:t>
      </w:r>
    </w:p>
    <w:p w14:paraId="51E7AF7A" w14:textId="77777777" w:rsidR="00245C2C" w:rsidRPr="00245C2C" w:rsidRDefault="00245C2C" w:rsidP="00245C2C">
      <w:pPr>
        <w:tabs>
          <w:tab w:val="left" w:pos="720"/>
        </w:tabs>
        <w:ind w:left="720"/>
        <w:rPr>
          <w:b/>
          <w:bCs/>
        </w:rPr>
      </w:pPr>
      <w:r w:rsidRPr="00245C2C">
        <w:rPr>
          <w:b/>
          <w:bCs/>
        </w:rPr>
        <w:t xml:space="preserve">A </w:t>
      </w:r>
      <w:r w:rsidRPr="00245C2C">
        <w:rPr>
          <w:b/>
          <w:bCs/>
          <w:lang w:eastAsia="zh-CN"/>
        </w:rPr>
        <w:t xml:space="preserve">slot configuration period of </w:t>
      </w:r>
      <w:r w:rsidR="006D1956" w:rsidRPr="006D1956">
        <w:rPr>
          <w:b/>
          <w:noProof/>
          <w:position w:val="-4"/>
        </w:rPr>
        <w:object w:dxaOrig="220" w:dyaOrig="220" w14:anchorId="4043BE13">
          <v:shape id="_x0000_i1046" type="#_x0000_t75" alt="" style="width:14.2pt;height:12.1pt;mso-width-percent:0;mso-height-percent:0;mso-width-percent:0;mso-height-percent:0" o:ole="">
            <v:imagedata r:id="rId9" o:title=""/>
          </v:shape>
          <o:OLEObject Type="Embed" ProgID="Equation.3" ShapeID="_x0000_i1046" DrawAspect="Content" ObjectID="_1634734939" r:id="rId41"/>
        </w:object>
      </w:r>
      <w:r w:rsidRPr="00245C2C">
        <w:rPr>
          <w:b/>
          <w:bCs/>
          <w:lang w:eastAsia="zh-CN"/>
        </w:rPr>
        <w:t xml:space="preserve"> msec includes </w:t>
      </w:r>
      <w:r w:rsidR="006D1956" w:rsidRPr="006D1956">
        <w:rPr>
          <w:b/>
          <w:noProof/>
          <w:position w:val="-6"/>
        </w:rPr>
        <w:object w:dxaOrig="960" w:dyaOrig="300" w14:anchorId="010F480F">
          <v:shape id="_x0000_i1045" type="#_x0000_t75" alt="" style="width:43.6pt;height:14.7pt;mso-width-percent:0;mso-height-percent:0;mso-width-percent:0;mso-height-percent:0" o:ole="">
            <v:imagedata r:id="rId11" o:title=""/>
          </v:shape>
          <o:OLEObject Type="Embed" ProgID="Equation.3" ShapeID="_x0000_i1045" DrawAspect="Content" ObjectID="_1634734940" r:id="rId42"/>
        </w:object>
      </w:r>
      <w:r w:rsidRPr="00245C2C">
        <w:rPr>
          <w:b/>
          <w:bCs/>
          <w:lang w:eastAsia="zh-CN"/>
        </w:rPr>
        <w:t xml:space="preserve"> </w:t>
      </w:r>
      <w:r w:rsidRPr="00245C2C">
        <w:rPr>
          <w:b/>
          <w:bCs/>
        </w:rPr>
        <w:t xml:space="preserve">slots with SCS configuration </w:t>
      </w:r>
      <w:r w:rsidR="006D1956" w:rsidRPr="006D1956">
        <w:rPr>
          <w:b/>
          <w:noProof/>
          <w:position w:val="-10"/>
        </w:rPr>
        <w:object w:dxaOrig="360" w:dyaOrig="300" w14:anchorId="7BE2E813">
          <v:shape id="_x0000_i1044" type="#_x0000_t75" alt="" style="width:22.05pt;height:17.35pt;mso-width-percent:0;mso-height-percent:0;mso-width-percent:0;mso-height-percent:0" o:ole="">
            <v:imagedata r:id="rId13" o:title=""/>
          </v:shape>
          <o:OLEObject Type="Embed" ProgID="Equation.3" ShapeID="_x0000_i1044" DrawAspect="Content" ObjectID="_1634734941" r:id="rId43"/>
        </w:object>
      </w:r>
      <w:r w:rsidRPr="00245C2C">
        <w:rPr>
          <w:b/>
          <w:bCs/>
        </w:rPr>
        <w:t xml:space="preserve">. From the </w:t>
      </w:r>
      <w:r w:rsidR="006D1956" w:rsidRPr="006D1956">
        <w:rPr>
          <w:b/>
          <w:noProof/>
          <w:position w:val="-6"/>
        </w:rPr>
        <w:object w:dxaOrig="200" w:dyaOrig="240" w14:anchorId="2C679B55">
          <v:shape id="_x0000_i1043" type="#_x0000_t75" alt="" style="width:14.2pt;height:12.1pt;mso-width-percent:0;mso-height-percent:0;mso-width-percent:0;mso-height-percent:0" o:ole="">
            <v:imagedata r:id="rId15" o:title=""/>
          </v:shape>
          <o:OLEObject Type="Embed" ProgID="Equation.3" ShapeID="_x0000_i1043" DrawAspect="Content" ObjectID="_1634734942" r:id="rId44"/>
        </w:object>
      </w:r>
      <w:r w:rsidRPr="00245C2C">
        <w:rPr>
          <w:b/>
          <w:bCs/>
        </w:rPr>
        <w:t xml:space="preserve"> slots, a first </w:t>
      </w:r>
      <w:r w:rsidR="006D1956" w:rsidRPr="006D1956">
        <w:rPr>
          <w:b/>
          <w:noProof/>
          <w:position w:val="-10"/>
        </w:rPr>
        <w:object w:dxaOrig="400" w:dyaOrig="300" w14:anchorId="3E6E81CD">
          <v:shape id="_x0000_i1042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42" DrawAspect="Content" ObjectID="_1634734944" r:id="rId45"/>
        </w:object>
      </w:r>
      <w:r w:rsidRPr="00245C2C">
        <w:rPr>
          <w:b/>
          <w:bCs/>
        </w:rPr>
        <w:t xml:space="preserve"> slots include only uplink symbols and a last </w:t>
      </w:r>
      <w:r w:rsidR="006D1956" w:rsidRPr="006D1956">
        <w:rPr>
          <w:b/>
          <w:noProof/>
          <w:position w:val="-10"/>
        </w:rPr>
        <w:pict w14:anchorId="4BB5B4EE">
          <v:shape id="_x0000_i1041" type="#_x0000_t75" alt="" style="width:22.05pt;height:18.4pt;mso-width-percent:0;mso-height-percent:0;mso-width-percent:0;mso-height-percent:0">
            <v:imagedata r:id="rId17" o:title=""/>
          </v:shape>
        </w:pict>
      </w:r>
      <w:r w:rsidRPr="00245C2C">
        <w:rPr>
          <w:b/>
          <w:bCs/>
        </w:rPr>
        <w:t xml:space="preserve"> slots include only downlink symbols. The </w:t>
      </w:r>
      <w:r w:rsidR="006D1956" w:rsidRPr="006D1956">
        <w:rPr>
          <w:b/>
          <w:noProof/>
          <w:position w:val="-12"/>
        </w:rPr>
        <w:object w:dxaOrig="380" w:dyaOrig="320" w14:anchorId="14E6EC3D">
          <v:shape id="_x0000_i1040" type="#_x0000_t75" alt="" style="width:19.45pt;height:18.4pt;mso-width-percent:0;mso-height-percent:0;mso-width-percent:0;mso-height-percent:0" o:ole="">
            <v:imagedata r:id="rId24" o:title=""/>
          </v:shape>
          <o:OLEObject Type="Embed" ProgID="Equation.3" ShapeID="_x0000_i1040" DrawAspect="Content" ObjectID="_1634734945" r:id="rId46"/>
        </w:object>
      </w:r>
      <w:r w:rsidRPr="00245C2C">
        <w:rPr>
          <w:b/>
          <w:bCs/>
        </w:rPr>
        <w:t xml:space="preserve"> symbols after the first </w:t>
      </w:r>
      <w:r w:rsidR="006D1956" w:rsidRPr="006D1956">
        <w:rPr>
          <w:b/>
          <w:noProof/>
          <w:position w:val="-10"/>
        </w:rPr>
        <w:object w:dxaOrig="400" w:dyaOrig="300" w14:anchorId="2CABA1CE">
          <v:shape id="_x0000_i1039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39" DrawAspect="Content" ObjectID="_1634734946" r:id="rId47"/>
        </w:object>
      </w:r>
      <w:r w:rsidRPr="00245C2C">
        <w:rPr>
          <w:b/>
          <w:bCs/>
        </w:rPr>
        <w:t xml:space="preserve"> slots are uplink symbols. The </w:t>
      </w:r>
      <w:r w:rsidR="006D1956" w:rsidRPr="006D1956">
        <w:rPr>
          <w:b/>
          <w:noProof/>
          <w:position w:val="-12"/>
        </w:rPr>
        <w:object w:dxaOrig="400" w:dyaOrig="320" w14:anchorId="5F13BE3A">
          <v:shape id="_x0000_i1038" type="#_x0000_t75" alt="" style="width:22.05pt;height:18.4pt;mso-width-percent:0;mso-height-percent:0;mso-width-percent:0;mso-height-percent:0" o:ole="">
            <v:imagedata r:id="rId21" o:title=""/>
          </v:shape>
          <o:OLEObject Type="Embed" ProgID="Equation.3" ShapeID="_x0000_i1038" DrawAspect="Content" ObjectID="_1634734947" r:id="rId48"/>
        </w:object>
      </w:r>
      <w:r w:rsidRPr="00245C2C">
        <w:rPr>
          <w:b/>
          <w:bCs/>
        </w:rPr>
        <w:t xml:space="preserve"> symbols before the last </w:t>
      </w:r>
      <w:r w:rsidR="006D1956" w:rsidRPr="006D1956">
        <w:rPr>
          <w:b/>
          <w:noProof/>
          <w:position w:val="-10"/>
        </w:rPr>
        <w:object w:dxaOrig="420" w:dyaOrig="300" w14:anchorId="1FC69202">
          <v:shape id="_x0000_i1037" type="#_x0000_t75" alt="" style="width:22.05pt;height:18.4pt;mso-width-percent:0;mso-height-percent:0;mso-width-percent:0;mso-height-percent:0" o:ole="">
            <v:imagedata r:id="rId17" o:title=""/>
          </v:shape>
          <o:OLEObject Type="Embed" ProgID="Equation.3" ShapeID="_x0000_i1037" DrawAspect="Content" ObjectID="_1634734948" r:id="rId49"/>
        </w:object>
      </w:r>
      <w:r w:rsidRPr="00245C2C">
        <w:rPr>
          <w:b/>
          <w:bCs/>
        </w:rPr>
        <w:t xml:space="preserve"> slots are downlink symbols. The remaining </w:t>
      </w:r>
      <w:r w:rsidR="006D1956" w:rsidRPr="006D1956">
        <w:rPr>
          <w:b/>
          <w:noProof/>
          <w:position w:val="-12"/>
        </w:rPr>
        <w:object w:dxaOrig="2740" w:dyaOrig="360" w14:anchorId="5B9C4F3A">
          <v:shape id="_x0000_i1036" type="#_x0000_t75" alt="" style="width:129.3pt;height:19.45pt;mso-width-percent:0;mso-height-percent:0;mso-width-percent:0;mso-height-percent:0" o:ole="">
            <v:imagedata r:id="rId27" o:title=""/>
          </v:shape>
          <o:OLEObject Type="Embed" ProgID="Equation.3" ShapeID="_x0000_i1036" DrawAspect="Content" ObjectID="_1634734949" r:id="rId50"/>
        </w:object>
      </w:r>
      <w:r w:rsidRPr="00245C2C">
        <w:rPr>
          <w:b/>
          <w:bCs/>
        </w:rPr>
        <w:t xml:space="preserve"> are flexible symbols. </w:t>
      </w:r>
    </w:p>
    <w:p w14:paraId="04F92807" w14:textId="77777777" w:rsidR="00245C2C" w:rsidRDefault="00245C2C" w:rsidP="007C350F">
      <w:pPr>
        <w:pStyle w:val="maintext"/>
        <w:ind w:firstLineChars="0" w:firstLine="0"/>
        <w:rPr>
          <w:rFonts w:ascii="Calibri" w:hAnsi="Calibri" w:cs="Arial"/>
        </w:rPr>
      </w:pPr>
    </w:p>
    <w:p w14:paraId="19E55E3A" w14:textId="13E10A3B" w:rsidR="00787B23" w:rsidRDefault="00DC1C0D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The configuration for IAB-MTs should be provided by new signalling in Rel-16 (i.e. the upper layer parameter </w:t>
      </w:r>
      <w:r w:rsidRPr="00DC1C0D">
        <w:rPr>
          <w:rFonts w:ascii="Calibri" w:hAnsi="Calibri" w:cs="Arial"/>
          <w:i/>
          <w:iCs/>
        </w:rPr>
        <w:t>TDD-UL-DL-Config-IAB-MT</w:t>
      </w:r>
      <w:r>
        <w:rPr>
          <w:rFonts w:ascii="Calibri" w:hAnsi="Calibri" w:cs="Arial"/>
        </w:rPr>
        <w:t>). Whether the legacy slot configuration period or the new slot configuration period</w:t>
      </w:r>
      <w:r w:rsidR="00245C2C">
        <w:rPr>
          <w:rFonts w:ascii="Calibri" w:hAnsi="Calibri" w:cs="Arial"/>
        </w:rPr>
        <w:t>,</w:t>
      </w:r>
      <w:r>
        <w:rPr>
          <w:rFonts w:ascii="Calibri" w:hAnsi="Calibri" w:cs="Arial"/>
        </w:rPr>
        <w:t xml:space="preserve"> which supports UL-F-D patterns</w:t>
      </w:r>
      <w:r w:rsidR="00245C2C">
        <w:rPr>
          <w:rFonts w:ascii="Calibri" w:hAnsi="Calibri" w:cs="Arial"/>
        </w:rPr>
        <w:t>,</w:t>
      </w:r>
      <w:r>
        <w:rPr>
          <w:rFonts w:ascii="Calibri" w:hAnsi="Calibri" w:cs="Arial"/>
        </w:rPr>
        <w:t xml:space="preserve"> should </w:t>
      </w:r>
      <w:r w:rsidR="00245C2C">
        <w:rPr>
          <w:rFonts w:ascii="Calibri" w:hAnsi="Calibri" w:cs="Arial"/>
        </w:rPr>
        <w:t xml:space="preserve">used by the IAB-MT should </w:t>
      </w:r>
      <w:r>
        <w:rPr>
          <w:rFonts w:ascii="Calibri" w:hAnsi="Calibri" w:cs="Arial"/>
        </w:rPr>
        <w:t>be indicated by the new parameter.</w:t>
      </w:r>
    </w:p>
    <w:p w14:paraId="7464246A" w14:textId="75896E4A" w:rsidR="00DC1C0D" w:rsidRDefault="00DC1C0D" w:rsidP="007C350F">
      <w:pPr>
        <w:pStyle w:val="maintext"/>
        <w:ind w:firstLineChars="0" w:firstLine="0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 xml:space="preserve">Proposal </w:t>
      </w:r>
      <w:r w:rsidR="00245C2C">
        <w:rPr>
          <w:rFonts w:ascii="Calibri" w:hAnsi="Calibri" w:cs="Arial"/>
          <w:b/>
          <w:bCs/>
        </w:rPr>
        <w:t>2</w:t>
      </w:r>
      <w:r>
        <w:rPr>
          <w:rFonts w:ascii="Calibri" w:hAnsi="Calibri" w:cs="Arial"/>
          <w:b/>
          <w:bCs/>
        </w:rPr>
        <w:t xml:space="preserve">: </w:t>
      </w:r>
      <w:r w:rsidR="00245C2C">
        <w:rPr>
          <w:rFonts w:ascii="Calibri" w:hAnsi="Calibri" w:cs="Arial"/>
          <w:b/>
          <w:bCs/>
        </w:rPr>
        <w:t>T</w:t>
      </w:r>
      <w:r>
        <w:rPr>
          <w:rFonts w:ascii="Calibri" w:hAnsi="Calibri" w:cs="Arial"/>
          <w:b/>
          <w:bCs/>
        </w:rPr>
        <w:t>he upper layer parameter TDD-UL-DL-Config-IAB-MT</w:t>
      </w:r>
      <w:r w:rsidR="00245C2C">
        <w:rPr>
          <w:rFonts w:ascii="Calibri" w:hAnsi="Calibri" w:cs="Arial"/>
          <w:b/>
          <w:bCs/>
        </w:rPr>
        <w:t xml:space="preserve"> should indicate whether the legacy slot configuration period definition or a new slot configuration period supporting UL-F-D patterns should be assumed by the IAB-MT.</w:t>
      </w:r>
    </w:p>
    <w:p w14:paraId="677E22DE" w14:textId="77777777" w:rsidR="00DC1C0D" w:rsidRPr="00DC1C0D" w:rsidRDefault="00DC1C0D" w:rsidP="007C350F">
      <w:pPr>
        <w:pStyle w:val="maintext"/>
        <w:ind w:firstLineChars="0" w:firstLine="0"/>
        <w:rPr>
          <w:rFonts w:ascii="Calibri" w:hAnsi="Calibri" w:cs="Arial"/>
          <w:b/>
          <w:bCs/>
        </w:rPr>
      </w:pPr>
    </w:p>
    <w:p w14:paraId="3A48AC9F" w14:textId="0577CE4E" w:rsidR="00163AD0" w:rsidRDefault="00C11C1A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t>Also during RAN1#98bis the following agreement was made:</w:t>
      </w:r>
    </w:p>
    <w:p w14:paraId="111327BB" w14:textId="77777777" w:rsidR="00C11C1A" w:rsidRPr="008A508F" w:rsidRDefault="00C11C1A" w:rsidP="00C11C1A">
      <w:pPr>
        <w:rPr>
          <w:lang w:eastAsia="x-none"/>
        </w:rPr>
      </w:pPr>
      <w:r w:rsidRPr="008A508F">
        <w:rPr>
          <w:highlight w:val="green"/>
          <w:lang w:eastAsia="x-none"/>
        </w:rPr>
        <w:t>Agreements</w:t>
      </w:r>
      <w:r w:rsidRPr="008A508F">
        <w:rPr>
          <w:lang w:eastAsia="x-none"/>
        </w:rPr>
        <w:t>:</w:t>
      </w:r>
    </w:p>
    <w:p w14:paraId="26E7EDDA" w14:textId="77777777" w:rsidR="00C11C1A" w:rsidRPr="008A508F" w:rsidRDefault="00C11C1A" w:rsidP="00C11C1A">
      <w:pPr>
        <w:rPr>
          <w:lang w:eastAsia="zh-CN"/>
        </w:rPr>
      </w:pPr>
      <w:r w:rsidRPr="008A508F">
        <w:rPr>
          <w:lang w:eastAsia="zh-CN"/>
        </w:rPr>
        <w:t>Dynamic indication of UL-Flexible-DL (intended to dynamically update the flexible symbols) is supported for IAB-node MTs</w:t>
      </w:r>
    </w:p>
    <w:p w14:paraId="2A9C9186" w14:textId="77777777" w:rsidR="00C11C1A" w:rsidRPr="008A508F" w:rsidRDefault="00C11C1A" w:rsidP="00C11C1A">
      <w:pPr>
        <w:pStyle w:val="ListParagraph"/>
        <w:numPr>
          <w:ilvl w:val="0"/>
          <w:numId w:val="26"/>
        </w:numPr>
        <w:rPr>
          <w:bCs/>
        </w:rPr>
      </w:pPr>
      <w:r w:rsidRPr="008A508F">
        <w:rPr>
          <w:lang w:eastAsia="zh-CN"/>
        </w:rPr>
        <w:t>The dynamic indication of slot formats of UL-Flexible-DL should use DCI format 2_0 and reserved entries in Table 11.1.1-1 in 38.213.</w:t>
      </w:r>
      <w:r w:rsidRPr="008A508F">
        <w:rPr>
          <w:bCs/>
        </w:rPr>
        <w:t xml:space="preserve"> </w:t>
      </w:r>
    </w:p>
    <w:p w14:paraId="5387868A" w14:textId="77777777" w:rsidR="00C11C1A" w:rsidRDefault="00C11C1A" w:rsidP="007C350F">
      <w:pPr>
        <w:pStyle w:val="maintext"/>
        <w:ind w:firstLineChars="0" w:firstLine="0"/>
        <w:rPr>
          <w:rFonts w:ascii="Calibri" w:hAnsi="Calibri" w:cs="Arial"/>
        </w:rPr>
      </w:pPr>
    </w:p>
    <w:p w14:paraId="11413334" w14:textId="77777777" w:rsidR="007C350F" w:rsidRDefault="007C350F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t>The</w:t>
      </w:r>
      <w:r w:rsidRPr="00B66646">
        <w:rPr>
          <w:rFonts w:ascii="Calibri" w:hAnsi="Calibri" w:cs="Arial"/>
        </w:rPr>
        <w:t xml:space="preserve"> new TDD-UL-DL-Pattern configurations </w:t>
      </w:r>
      <w:r>
        <w:rPr>
          <w:rFonts w:ascii="Calibri" w:hAnsi="Calibri" w:cs="Arial"/>
        </w:rPr>
        <w:t xml:space="preserve">should </w:t>
      </w:r>
      <w:r w:rsidRPr="00B66646">
        <w:rPr>
          <w:rFonts w:ascii="Calibri" w:hAnsi="Calibri" w:cs="Arial"/>
        </w:rPr>
        <w:t>allow for patterns that start with uplink slots, uplink symbols, or flexible symbols</w:t>
      </w:r>
      <w:r>
        <w:rPr>
          <w:rFonts w:ascii="Calibri" w:hAnsi="Calibri" w:cs="Arial"/>
        </w:rPr>
        <w:t xml:space="preserve"> unlike the majority of the patterns defined in Rel-15 which start with downlink symbols</w:t>
      </w:r>
      <w:r w:rsidRPr="00B66646">
        <w:rPr>
          <w:rFonts w:ascii="Calibri" w:hAnsi="Calibri" w:cs="Arial"/>
        </w:rPr>
        <w:t xml:space="preserve">. </w:t>
      </w:r>
      <w:r>
        <w:rPr>
          <w:rFonts w:ascii="Calibri" w:hAnsi="Calibri" w:cs="Arial"/>
        </w:rPr>
        <w:t xml:space="preserve">This has the benefit of enabling a straightforward shift of the alignment of frame structures across hops as shown in Figure </w:t>
      </w:r>
      <w:r w:rsidR="00163AD0">
        <w:rPr>
          <w:rFonts w:ascii="Calibri" w:hAnsi="Calibri" w:cs="Arial"/>
        </w:rPr>
        <w:t>3</w:t>
      </w:r>
      <w:r>
        <w:rPr>
          <w:rFonts w:ascii="Calibri" w:hAnsi="Calibri" w:cs="Arial"/>
        </w:rPr>
        <w:t xml:space="preserve">, which is needed for both TDM as well as SDM access and backhaul multiplexing. </w:t>
      </w:r>
    </w:p>
    <w:p w14:paraId="0D5607EB" w14:textId="77777777" w:rsidR="00C11C1A" w:rsidRDefault="00C11C1A" w:rsidP="007C350F">
      <w:pPr>
        <w:pStyle w:val="maintext"/>
        <w:ind w:firstLineChars="0" w:firstLine="0"/>
        <w:rPr>
          <w:rFonts w:ascii="Calibri" w:hAnsi="Calibri" w:cs="Arial"/>
        </w:rPr>
      </w:pPr>
    </w:p>
    <w:p w14:paraId="387A746D" w14:textId="77777777" w:rsidR="0073093E" w:rsidRPr="0073093E" w:rsidRDefault="0073093E" w:rsidP="0073093E">
      <w:pPr>
        <w:pStyle w:val="maintext"/>
        <w:ind w:firstLineChars="0" w:firstLine="0"/>
        <w:rPr>
          <w:rFonts w:eastAsia="SimSun"/>
          <w:lang w:val="en-US" w:eastAsia="zh-CN"/>
        </w:rPr>
      </w:pPr>
      <w:r>
        <w:rPr>
          <w:rFonts w:ascii="Calibri" w:hAnsi="Calibri" w:cs="Arial"/>
        </w:rPr>
        <w:t>The existing supported slot formats are provided in 38.213 Table 11.1.1-1</w:t>
      </w:r>
    </w:p>
    <w:p w14:paraId="4CD139F6" w14:textId="77777777" w:rsidR="0073093E" w:rsidRDefault="0073093E" w:rsidP="0073093E">
      <w:pPr>
        <w:pStyle w:val="TH"/>
      </w:pPr>
      <w:bookmarkStart w:id="2" w:name="_Hlk512253773"/>
      <w:r>
        <w:t>Table 11.1.1-</w:t>
      </w:r>
      <w:bookmarkEnd w:id="2"/>
      <w:r>
        <w:t>1: Slot formats for normal cyclic prefix</w:t>
      </w:r>
    </w:p>
    <w:p w14:paraId="11A96D55" w14:textId="77777777" w:rsidR="0073093E" w:rsidRDefault="0073093E" w:rsidP="0073093E">
      <w:pPr>
        <w:pStyle w:val="maintext"/>
        <w:ind w:firstLineChars="0" w:firstLine="0"/>
        <w:rPr>
          <w:rFonts w:ascii="Calibri" w:hAnsi="Calibri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13"/>
        <w:gridCol w:w="571"/>
        <w:gridCol w:w="571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73093E" w14:paraId="682D73AD" w14:textId="77777777" w:rsidTr="00FC5269">
        <w:trPr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1CFD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Format</w:t>
            </w:r>
          </w:p>
        </w:tc>
        <w:tc>
          <w:tcPr>
            <w:tcW w:w="811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68D7DA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Symbol number in a slot</w:t>
            </w:r>
          </w:p>
        </w:tc>
      </w:tr>
      <w:tr w:rsidR="0073093E" w14:paraId="3BCB73F1" w14:textId="77777777" w:rsidTr="00FC526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9781" w14:textId="77777777" w:rsidR="0073093E" w:rsidRDefault="0073093E" w:rsidP="00FC5269">
            <w:pPr>
              <w:rPr>
                <w:b/>
                <w:sz w:val="18"/>
                <w:szCs w:val="24"/>
                <w:lang w:val="en-GB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F9AA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EBBD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A9A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00B9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9DB0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32BE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79A4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6185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F619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DB33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FD41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9C9F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8342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72C9" w14:textId="77777777" w:rsidR="0073093E" w:rsidRDefault="0073093E" w:rsidP="00FC5269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</w:tr>
      <w:tr w:rsidR="0073093E" w14:paraId="6A0EA8A4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61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E6A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782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587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A15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92F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2FE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3AB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567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F07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1D9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DB5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F4D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F01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4C2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</w:tr>
      <w:tr w:rsidR="0073093E" w14:paraId="57F879FF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7D4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2DF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2B6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042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4D8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820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E05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6FD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AB4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902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E03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72B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0DD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6A1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BEF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704D7D18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FFE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349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4FC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77F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9BF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47E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25B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A1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B91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562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7D4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746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31D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D53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0C6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4ED96B77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EBF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5DD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C54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8CF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947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07B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4AA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D73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DCF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6E4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DB8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A60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430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1DA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231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60AB24BD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8CB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5C8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F0F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6E4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64C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FF6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1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A42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75A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BA2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10E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A9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530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755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E0A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46609469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42F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1BE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57C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D4C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3A6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4B6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19D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425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44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3A6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64A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147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A20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BD3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86B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56818F58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650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773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0DA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025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4CF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BAF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16C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E52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0C6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07C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AA3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1E7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289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607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F05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258540E3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121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BE2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575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DD3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E97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3E1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145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A18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593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84C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367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176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A01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0AA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1A5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58AAB4FF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056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2F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9A6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BFC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36D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E9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271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877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4EC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CF6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9B9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4B9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BCF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2DA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F6D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AB1247F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8B4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16A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D16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0FA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3C7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D58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B71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BA0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D7B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74C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0E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672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F5D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7CB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68F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272B540F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08A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094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3EE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5C1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F07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0CC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1E9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717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B4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25D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B78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0EB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01B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43D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7D7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1C2CEAC5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E8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AB0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18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661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C26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6DF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A60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D8A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49C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B82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8DF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998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4EA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186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5EF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B14D46A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48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3AB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AA5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96C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716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8AD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1F1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5A7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9DE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B24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8A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C46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4A7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365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DD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06C18172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BB6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308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FAF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D7F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00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239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96B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D6C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95B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60C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B7F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344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433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4A0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DF7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1C57D40A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A22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33F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725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EEE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696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E7C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F3C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5EF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6E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C54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3EE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815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6A0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5C3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E47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6E2E9F50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496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5F4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6B5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605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AA6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EF8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FE6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C4C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0C4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2EA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C0F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7B8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66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442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237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3AABEB4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AF6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FFA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649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731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F89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C4B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B20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537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DA6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FAB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E8A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BCB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951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80A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473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7DC1BE74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E24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4E7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B7F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7A4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308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044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01B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EFF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C81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140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76C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994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B1E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A97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C73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53373B7A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65C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0E1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418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C85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C4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02E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E06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FD9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A2F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882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595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A94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3C5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F7B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373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73093E" w14:paraId="6FAB4BB5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87A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93F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42F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4FA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784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42D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31A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F38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A6E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1D5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97D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322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05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6E5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9C5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239FD869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4F0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6A6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A14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96F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D69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AD5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6CF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826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32C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178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172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E21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7B4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3F9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53C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1916B2D3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EE1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C55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5E5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EB2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BA3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A12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640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55E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A9E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F01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6EC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D2F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EFB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A46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FA3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D7FCC2A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0DE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910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E7D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304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CF1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8C6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5C1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21E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EB4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557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6DD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2F7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ACB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31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542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0A30594E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394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B3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19E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740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04B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66F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837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655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C26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BBC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D35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3E4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D2C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03D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508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30AAAE4A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C32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836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4D1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93A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F99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9E6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7DC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1E0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E1D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722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91E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98C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AFF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F1F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7D4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88B9BEC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07C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2E4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B44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217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E75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BA1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E04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4C1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1CA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E36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B5F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A75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8FA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A11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910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0FFF0E0C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998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C65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63B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D7A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93F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EEA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5B0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BCE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49E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13A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E27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696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F47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E40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AAE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3D3AA60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9E7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958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15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601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7BE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C24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25A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EA3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F25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831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E06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B1D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85B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6FB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B8A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5666B68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036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9C0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B4B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C9E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2D1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599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097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13C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379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D52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1A9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585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BA6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CF1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999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22998AE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530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93C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124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8A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1A5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CD8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98C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DC1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2BD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834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BA9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380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095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08E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6BB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7313C4D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1F5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BF3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CD6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4D7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94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F12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2AE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A40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A4B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106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66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00B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602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16C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9D2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FAC7037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481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665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ABC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2C5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9B1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A64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E5C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E44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008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97A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ABE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9D0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B13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7F9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899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8AB43DB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E77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9E6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089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684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F4D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74E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ECF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6D4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4E0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10E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E8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61B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788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EB2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066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3E79AB4F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095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28B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34D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FA5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F52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B3E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C9F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EE8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91E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059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540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F51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B40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D12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A61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DB19893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CA7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34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3B9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41A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CB8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0F4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AA2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623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DAF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AFF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4AB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C40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6B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480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1A8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686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19A1ADBA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392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BA1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59F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ABA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0BB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7AD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901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DA3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56F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921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F51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5B8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763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78A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293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2A64F796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849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AF9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EA6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7A5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498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856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881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4D2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45A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327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09C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C53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02D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96A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016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D5A5D69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FD7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E05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E5A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600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CC4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5EF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FE4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B2E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C64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1F0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3BB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ECD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B69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70B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E17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613985F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7FA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02D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853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4EA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DF3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47B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B49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CEA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000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4C0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99A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B33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A98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9A5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72D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6AFC2D97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59A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B0D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F91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41D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EEC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5D6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FDE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62D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1A7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EFB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F03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3D8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46A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4FB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C6E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068DC620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DC3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D6A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350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8F1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94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4B8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292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3A6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195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368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CDD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2B4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A2E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5CC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DE2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03E367F1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723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D2D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970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407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C4C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665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3C2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903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8B1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DE4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E7C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16D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A28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0BA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CE0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CB53453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3F0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A50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64F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67D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C82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FB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9B1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47E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54B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F1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76F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4A2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A59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3DF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EC3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1F41B712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4A7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89C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5DC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9E9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BD4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619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2C3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402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9A9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A56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B87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6DD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AB9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A0A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13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60F835A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011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70C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363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D77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B0E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11A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83B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F9D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D96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6F1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301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58B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6DA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4FB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702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4FBB4ABD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DED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0BC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1FD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7F8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763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3F3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4C4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D58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692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ACD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086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3B5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6B2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466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F24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14B8E96B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1B8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3FA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685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076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076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DB3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D9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668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13C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63F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1C4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9AF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16D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44A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73C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11F2FAD5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5EC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A96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A07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037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FCD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8D9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54A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A95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904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8D0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C11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ED3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2AD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7E1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D9F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76EC20E2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862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AE8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50C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817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7B4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7D2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298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DA8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74B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4EA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336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EA1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F90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7EF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F2D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6EAC3FC0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64D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F40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8B2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883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D4D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FA2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83A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D92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FF6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537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595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5FA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9B7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5D3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3FE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76C2934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9E9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BC3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236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564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A12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552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75B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BE0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1C9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B03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DC0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207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2AC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3C0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B39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04EEEF34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941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4AC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D49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403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164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DC3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00D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62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0B2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D69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446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422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19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46B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739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342825FC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49B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220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A4D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4DC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BEC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A89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CAA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F5F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B12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671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6DC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C99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F04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D8D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86E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5C076EFE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F4C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C0D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F14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C99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D0D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DB7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757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046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45B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D32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1A9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FF2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5A9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F9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66D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73093E" w14:paraId="2F9F7B05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F02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AE88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713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4F9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FA7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699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EFE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B0B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F62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6E62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A55B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625D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3625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F14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E8D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</w:tr>
      <w:tr w:rsidR="0073093E" w14:paraId="113D39BC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37A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A40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BB9A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C8DC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3F1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44C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5499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1E04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4E47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D6EE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39D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8443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B6AF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483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9F0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</w:tr>
      <w:tr w:rsidR="0073093E" w14:paraId="013FD712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AA33" w14:textId="77777777" w:rsidR="0073093E" w:rsidRDefault="0073093E" w:rsidP="00FC5269">
            <w:pPr>
              <w:keepNext/>
              <w:keepLines/>
              <w:jc w:val="center"/>
              <w:rPr>
                <w:sz w:val="18"/>
                <w:highlight w:val="green"/>
              </w:rPr>
            </w:pPr>
            <w:r>
              <w:rPr>
                <w:sz w:val="18"/>
                <w:highlight w:val="green"/>
              </w:rPr>
              <w:t xml:space="preserve">56 – 254 </w:t>
            </w:r>
          </w:p>
        </w:tc>
        <w:tc>
          <w:tcPr>
            <w:tcW w:w="81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5C9D" w14:textId="77777777" w:rsidR="0073093E" w:rsidRDefault="0073093E" w:rsidP="00FC5269">
            <w:pPr>
              <w:keepNext/>
              <w:keepLines/>
              <w:jc w:val="center"/>
              <w:rPr>
                <w:sz w:val="18"/>
                <w:highlight w:val="green"/>
              </w:rPr>
            </w:pPr>
            <w:r>
              <w:rPr>
                <w:sz w:val="18"/>
                <w:highlight w:val="green"/>
              </w:rPr>
              <w:t>Reserved</w:t>
            </w:r>
          </w:p>
        </w:tc>
      </w:tr>
      <w:tr w:rsidR="0073093E" w14:paraId="51A5E30D" w14:textId="77777777" w:rsidTr="00FC5269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6D76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255</w:t>
            </w:r>
          </w:p>
        </w:tc>
        <w:tc>
          <w:tcPr>
            <w:tcW w:w="81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09E1" w14:textId="77777777" w:rsidR="0073093E" w:rsidRDefault="0073093E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 xml:space="preserve">UE determines the slot format for the slot based on </w:t>
            </w:r>
            <w:r>
              <w:rPr>
                <w:i/>
                <w:sz w:val="18"/>
              </w:rPr>
              <w:t>TDD-UL-DL-ConfigurationCommon</w:t>
            </w:r>
            <w:r>
              <w:rPr>
                <w:sz w:val="18"/>
              </w:rPr>
              <w:t xml:space="preserve">, or </w:t>
            </w:r>
            <w:r>
              <w:rPr>
                <w:i/>
                <w:sz w:val="18"/>
              </w:rPr>
              <w:t>TDD-UL-DL-ConfigDedicated</w:t>
            </w:r>
            <w:r>
              <w:rPr>
                <w:sz w:val="18"/>
              </w:rPr>
              <w:t xml:space="preserve"> and, if any, on detected DCI formats</w:t>
            </w:r>
          </w:p>
        </w:tc>
      </w:tr>
    </w:tbl>
    <w:p w14:paraId="640457DE" w14:textId="77777777" w:rsidR="0073093E" w:rsidRDefault="0073093E" w:rsidP="0073093E">
      <w:pPr>
        <w:pStyle w:val="maintext"/>
        <w:ind w:firstLineChars="0" w:firstLine="0"/>
      </w:pPr>
    </w:p>
    <w:p w14:paraId="15ABB9F1" w14:textId="77777777" w:rsidR="00163AD0" w:rsidRDefault="0073093E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t>At least the following slot formats should be defined in Rel.16 for DUs and MTs:</w:t>
      </w:r>
    </w:p>
    <w:p w14:paraId="7809014E" w14:textId="77777777" w:rsidR="00A13160" w:rsidRDefault="00A13160" w:rsidP="007C350F">
      <w:pPr>
        <w:pStyle w:val="maintext"/>
        <w:ind w:firstLineChars="0" w:firstLine="0"/>
        <w:rPr>
          <w:rFonts w:ascii="Calibri" w:hAnsi="Calibri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71"/>
        <w:gridCol w:w="571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A13160" w14:paraId="4D841ADF" w14:textId="77777777" w:rsidTr="00A13160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F45E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455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F4D6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750E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8695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DC92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89BB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9B7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C923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4711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1AB0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9EA9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B99A" w14:textId="77777777" w:rsidR="00A13160" w:rsidRDefault="00A13160" w:rsidP="00FC5269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F453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A13160" w14:paraId="6C29C5A8" w14:textId="77777777" w:rsidTr="00A13160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CDA1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738E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CECD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5B80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0CDA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C863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327E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CBEA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9611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DDA5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EA1F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5F4F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2E72" w14:textId="77777777" w:rsidR="00A13160" w:rsidRDefault="00A13160" w:rsidP="00A13160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8F99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163AD0" w14:paraId="2884C458" w14:textId="77777777" w:rsidTr="00163AD0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BF83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B345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3E20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2638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0EF5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93F6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1EBC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C805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AB9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6C0E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E8D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AC6B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4C81" w14:textId="77777777" w:rsidR="00163AD0" w:rsidRDefault="00163AD0" w:rsidP="00163AD0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BD37" w14:textId="77777777" w:rsidR="00163AD0" w:rsidRDefault="00163AD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</w:tr>
    </w:tbl>
    <w:p w14:paraId="086D23E3" w14:textId="77777777" w:rsidR="00A13160" w:rsidRDefault="00A13160" w:rsidP="007C350F">
      <w:pPr>
        <w:pStyle w:val="maintext"/>
        <w:ind w:firstLineChars="0" w:firstLine="0"/>
        <w:rPr>
          <w:rFonts w:ascii="Calibri" w:hAnsi="Calibri" w:cs="Arial"/>
        </w:rPr>
      </w:pPr>
    </w:p>
    <w:p w14:paraId="5E066C9E" w14:textId="77777777" w:rsidR="00A13160" w:rsidRDefault="00A13160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t xml:space="preserve">Note that the following symmetric 7-symbol allocation is already supported in 38.213: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71"/>
        <w:gridCol w:w="571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A13160" w14:paraId="17FCA72A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C93C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C27D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F806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C404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8C04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68FE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B5B6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CE00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A966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67E5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C516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B170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E45D" w14:textId="77777777" w:rsidR="00A13160" w:rsidRDefault="00A13160" w:rsidP="00FC5269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92FD" w14:textId="77777777" w:rsidR="00A13160" w:rsidRDefault="00A13160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</w:tr>
    </w:tbl>
    <w:p w14:paraId="52A5B306" w14:textId="77777777" w:rsidR="00163AD0" w:rsidRDefault="00A13160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t xml:space="preserve"> </w:t>
      </w:r>
    </w:p>
    <w:p w14:paraId="39D1D2EF" w14:textId="77777777" w:rsidR="00A13160" w:rsidRDefault="00A13160" w:rsidP="007C350F">
      <w:pPr>
        <w:pStyle w:val="maintext"/>
        <w:ind w:firstLineChars="0" w:firstLine="0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In addition, to support mini-slots with PDSCH duration less than 7 symbols, the </w:t>
      </w:r>
      <w:r w:rsidR="00DD2FB7">
        <w:rPr>
          <w:rFonts w:ascii="Calibri" w:hAnsi="Calibri" w:cs="Arial"/>
        </w:rPr>
        <w:t>slot formats such as rows 10-15 and 34-42</w:t>
      </w:r>
      <w:r>
        <w:rPr>
          <w:rFonts w:ascii="Calibri" w:hAnsi="Calibri" w:cs="Arial"/>
        </w:rPr>
        <w:t xml:space="preserve"> </w:t>
      </w:r>
      <w:r w:rsidR="00DD2FB7">
        <w:rPr>
          <w:rFonts w:ascii="Calibri" w:hAnsi="Calibri" w:cs="Arial"/>
        </w:rPr>
        <w:t xml:space="preserve">should be supported, </w:t>
      </w:r>
      <w:r>
        <w:rPr>
          <w:rFonts w:ascii="Calibri" w:hAnsi="Calibri" w:cs="Arial"/>
        </w:rPr>
        <w:t>based on the existing formats starting with D</w:t>
      </w:r>
      <w:r w:rsidR="00DD2FB7">
        <w:rPr>
          <w:rFonts w:ascii="Calibri" w:hAnsi="Calibri" w:cs="Arial"/>
        </w:rPr>
        <w:t xml:space="preserve"> or F, but flipping the order of the 7-symbol sub-slots.</w:t>
      </w:r>
    </w:p>
    <w:p w14:paraId="4195E7ED" w14:textId="77777777" w:rsidR="00A13160" w:rsidRPr="00163AD0" w:rsidRDefault="00A13160" w:rsidP="007C350F">
      <w:pPr>
        <w:pStyle w:val="maintext"/>
        <w:ind w:firstLineChars="0" w:firstLine="0"/>
        <w:rPr>
          <w:rFonts w:ascii="Calibri" w:hAnsi="Calibri" w:cs="Arial"/>
        </w:rPr>
      </w:pPr>
    </w:p>
    <w:p w14:paraId="2EEF456B" w14:textId="5AB3F054" w:rsidR="007C350F" w:rsidRDefault="007C350F" w:rsidP="007C350F">
      <w:pPr>
        <w:pStyle w:val="maintext"/>
        <w:ind w:firstLineChars="0" w:firstLine="0"/>
        <w:rPr>
          <w:rFonts w:ascii="Calibri" w:hAnsi="Calibri"/>
          <w:b/>
        </w:rPr>
      </w:pPr>
      <w:r w:rsidRPr="00057E9B">
        <w:rPr>
          <w:rFonts w:ascii="Calibri" w:hAnsi="Calibri"/>
          <w:b/>
        </w:rPr>
        <w:t xml:space="preserve">Proposal </w:t>
      </w:r>
      <w:r w:rsidR="00245C2C">
        <w:rPr>
          <w:rFonts w:ascii="Calibri" w:hAnsi="Calibri"/>
          <w:b/>
        </w:rPr>
        <w:t>3</w:t>
      </w:r>
      <w:r w:rsidRPr="00057E9B">
        <w:rPr>
          <w:rFonts w:ascii="Calibri" w:hAnsi="Calibri"/>
          <w:b/>
        </w:rPr>
        <w:t xml:space="preserve">: </w:t>
      </w:r>
      <w:r>
        <w:rPr>
          <w:rFonts w:ascii="Calibri" w:hAnsi="Calibri"/>
          <w:b/>
        </w:rPr>
        <w:t xml:space="preserve">The </w:t>
      </w:r>
      <w:r w:rsidR="00DD2FB7">
        <w:rPr>
          <w:rFonts w:ascii="Calibri" w:hAnsi="Calibri"/>
          <w:b/>
        </w:rPr>
        <w:t xml:space="preserve">following </w:t>
      </w:r>
      <w:r>
        <w:rPr>
          <w:rFonts w:ascii="Calibri" w:hAnsi="Calibri"/>
          <w:b/>
        </w:rPr>
        <w:t xml:space="preserve">new slot formats </w:t>
      </w:r>
      <w:r w:rsidR="00DD2FB7">
        <w:rPr>
          <w:rFonts w:ascii="Calibri" w:hAnsi="Calibri"/>
          <w:b/>
        </w:rPr>
        <w:t xml:space="preserve">should be </w:t>
      </w:r>
      <w:r>
        <w:rPr>
          <w:rFonts w:ascii="Calibri" w:hAnsi="Calibri"/>
          <w:b/>
        </w:rPr>
        <w:t xml:space="preserve">defined for </w:t>
      </w:r>
      <w:r w:rsidR="00DD2FB7">
        <w:rPr>
          <w:rFonts w:ascii="Calibri" w:hAnsi="Calibri"/>
          <w:b/>
        </w:rPr>
        <w:t xml:space="preserve">use by </w:t>
      </w:r>
      <w:r>
        <w:rPr>
          <w:rFonts w:ascii="Calibri" w:hAnsi="Calibri"/>
          <w:b/>
        </w:rPr>
        <w:t>IAB</w:t>
      </w:r>
      <w:r w:rsidR="00DD2FB7">
        <w:rPr>
          <w:rFonts w:ascii="Calibri" w:hAnsi="Calibri"/>
          <w:b/>
        </w:rPr>
        <w:t xml:space="preserve">-nodes (DUs and MTs) in the semi-static F1-AP and RRC configurations, and as part </w:t>
      </w:r>
      <w:r w:rsidR="009147F1">
        <w:rPr>
          <w:rFonts w:ascii="Calibri" w:hAnsi="Calibri"/>
          <w:b/>
        </w:rPr>
        <w:t>the</w:t>
      </w:r>
      <w:r w:rsidR="00DD2FB7">
        <w:rPr>
          <w:rFonts w:ascii="Calibri" w:hAnsi="Calibri"/>
          <w:b/>
        </w:rPr>
        <w:t xml:space="preserve"> SFI in DCI Format 2_0:</w:t>
      </w:r>
    </w:p>
    <w:p w14:paraId="2C46D6F0" w14:textId="77777777" w:rsidR="00DD2FB7" w:rsidRDefault="00DD2FB7" w:rsidP="007C350F">
      <w:pPr>
        <w:pStyle w:val="maintext"/>
        <w:ind w:firstLineChars="0" w:firstLine="0"/>
        <w:rPr>
          <w:rFonts w:ascii="Calibri" w:hAnsi="Calibr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71"/>
        <w:gridCol w:w="571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DD2FB7" w14:paraId="606C13DD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9074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6EC1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E04C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7297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E06D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79B6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F2DD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784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ADFC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8020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34E6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3D43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07CA" w14:textId="77777777" w:rsidR="00DD2FB7" w:rsidRDefault="00DD2FB7" w:rsidP="00FC5269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78B2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05E5335C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DEE7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00AE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1F55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A6C4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9175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10B1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324F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0301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EC0C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420F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E7AE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DAD2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979C" w14:textId="77777777" w:rsidR="00DD2FB7" w:rsidRDefault="00DD2FB7" w:rsidP="00FC5269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160A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DD2FB7" w14:paraId="04A099CD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0CF7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3094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773B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E7A1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D31F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189D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1C65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34F8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E59D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7182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47EB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C4FC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BD62" w14:textId="77777777" w:rsidR="00DD2FB7" w:rsidRDefault="00DD2FB7" w:rsidP="00FC5269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172C" w14:textId="77777777" w:rsidR="00DD2FB7" w:rsidRDefault="00DD2FB7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</w:tr>
      <w:tr w:rsidR="00DD2FB7" w14:paraId="3D303EB0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046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60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B9A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1A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8D3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F6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B0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B0F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27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77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4B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59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BB4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543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4B1E4213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81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AFD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5D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22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EC7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6DF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CFD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07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18C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94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DE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F5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24D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037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1BF73997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C2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C0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A98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51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15F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F6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BA6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18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10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D3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9E7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DC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982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FCE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41659228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046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1C1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4D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4E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99B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4D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775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977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C6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638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F1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552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810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CA8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7E946470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DEB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E8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7E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56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95D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4F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F5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9EE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ADE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5E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87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73A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7F2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21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765FA276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3C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CA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DB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28C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6B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DAA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0C0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BE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17F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1D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B33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A1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19E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9A7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1343F997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78B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57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9B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16A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5E2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09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6BF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4C9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C62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675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02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F31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125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B5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10E3E841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D3A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1B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68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CE3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F92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959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A8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2E1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F9E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1F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4BC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B6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12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CA2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3EA471B9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DE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2C4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93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2D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17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423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48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FA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3DE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AA4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13B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74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B92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72F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0143D65C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AEC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48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EC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73C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883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6CA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47D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146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21E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7F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726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B5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9FC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AE2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3DEC5DA7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2B0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6A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F42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34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128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2D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E00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ED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355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36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19C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0CA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4A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3C5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786E1B56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AD6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2B2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204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5B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F0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F17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E1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2D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07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24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A3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37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99F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042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1667DC43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98A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BDA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7D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BF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C50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01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32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18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D05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C6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45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B66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13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D9F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31BDD5DD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AE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B1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E0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2E9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D97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E2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90D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D0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92C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741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99F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3DE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7A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DF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025FF33E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68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125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921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46F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E5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26D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61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81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33B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DA6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7B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AB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CD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7A5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29F8208F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081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6A6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F7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40B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5F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5D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024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B4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F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88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4F6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34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512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3D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7F809839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A4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95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3827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2E0D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23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7D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F2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0D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66DA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ACD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6574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EE5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88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EFB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DD2FB7" w14:paraId="0C244550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92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BB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F7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6C3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A1F5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E2A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33A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272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C06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EF80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BDE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895F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E46C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DB8" w14:textId="77777777" w:rsidR="00DD2FB7" w:rsidRDefault="00DD2FB7" w:rsidP="00DD2FB7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</w:tbl>
    <w:p w14:paraId="6683BCE4" w14:textId="77777777" w:rsidR="007C350F" w:rsidRDefault="007C350F" w:rsidP="00632789">
      <w:pPr>
        <w:pStyle w:val="maintext"/>
        <w:ind w:firstLineChars="0" w:firstLine="0"/>
        <w:rPr>
          <w:rFonts w:ascii="Calibri" w:hAnsi="Calibri"/>
        </w:rPr>
      </w:pPr>
    </w:p>
    <w:p w14:paraId="66F264D2" w14:textId="1995F5FA" w:rsidR="00FC5269" w:rsidRDefault="00FC5269" w:rsidP="00FC5269">
      <w:pPr>
        <w:pStyle w:val="maintext"/>
        <w:ind w:firstLineChars="0" w:firstLine="0"/>
        <w:rPr>
          <w:rFonts w:ascii="Calibri" w:hAnsi="Calibri"/>
          <w:b/>
        </w:rPr>
      </w:pPr>
    </w:p>
    <w:p w14:paraId="290A47C5" w14:textId="0A702324" w:rsidR="00245C2C" w:rsidRDefault="00245C2C" w:rsidP="00FC5269">
      <w:pPr>
        <w:pStyle w:val="maintext"/>
        <w:ind w:firstLineChars="0" w:firstLine="0"/>
        <w:rPr>
          <w:rFonts w:ascii="Calibri" w:hAnsi="Calibri"/>
          <w:b/>
        </w:rPr>
      </w:pPr>
    </w:p>
    <w:p w14:paraId="0B00D600" w14:textId="3A1E8123" w:rsidR="00245C2C" w:rsidRDefault="00245C2C" w:rsidP="00FC5269">
      <w:pPr>
        <w:pStyle w:val="maintext"/>
        <w:ind w:firstLineChars="0" w:firstLine="0"/>
        <w:rPr>
          <w:rFonts w:ascii="Calibri" w:hAnsi="Calibri"/>
          <w:b/>
        </w:rPr>
      </w:pPr>
    </w:p>
    <w:p w14:paraId="3F4CEBF7" w14:textId="05052AD1" w:rsidR="00245C2C" w:rsidRDefault="00245C2C" w:rsidP="00FC5269">
      <w:pPr>
        <w:pStyle w:val="maintext"/>
        <w:ind w:firstLineChars="0" w:firstLine="0"/>
        <w:rPr>
          <w:rFonts w:ascii="Calibri" w:hAnsi="Calibri"/>
          <w:b/>
        </w:rPr>
      </w:pPr>
    </w:p>
    <w:p w14:paraId="32483D5D" w14:textId="77777777" w:rsidR="00245C2C" w:rsidRPr="00766B7B" w:rsidRDefault="00245C2C" w:rsidP="00FC5269">
      <w:pPr>
        <w:pStyle w:val="maintext"/>
        <w:ind w:firstLineChars="0" w:firstLine="0"/>
        <w:rPr>
          <w:rFonts w:ascii="Calibri" w:hAnsi="Calibri"/>
          <w:b/>
        </w:rPr>
      </w:pPr>
    </w:p>
    <w:p w14:paraId="7C12BF00" w14:textId="77777777" w:rsidR="002007EE" w:rsidRPr="002007EE" w:rsidRDefault="002007EE" w:rsidP="00FB2665">
      <w:pPr>
        <w:pStyle w:val="maintext"/>
        <w:ind w:firstLineChars="0" w:firstLine="0"/>
        <w:rPr>
          <w:b/>
        </w:rPr>
      </w:pPr>
    </w:p>
    <w:p w14:paraId="763666B9" w14:textId="77777777" w:rsidR="007338D6" w:rsidRPr="00172743" w:rsidRDefault="003A566A" w:rsidP="00326FF6">
      <w:pPr>
        <w:pStyle w:val="Heading1"/>
      </w:pPr>
      <w:r w:rsidRPr="00172743">
        <w:lastRenderedPageBreak/>
        <w:t>Conclusion</w:t>
      </w:r>
    </w:p>
    <w:p w14:paraId="5E211EAC" w14:textId="1866DD6C" w:rsidR="00245C2C" w:rsidRPr="00245C2C" w:rsidRDefault="00843F1C" w:rsidP="00245C2C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>Th</w:t>
      </w:r>
      <w:r w:rsidR="00F35911">
        <w:rPr>
          <w:rFonts w:ascii="Calibri" w:hAnsi="Calibri"/>
        </w:rPr>
        <w:t>is</w:t>
      </w:r>
      <w:r>
        <w:rPr>
          <w:rFonts w:ascii="Calibri" w:hAnsi="Calibri"/>
        </w:rPr>
        <w:t xml:space="preserve"> contribution analyzed </w:t>
      </w:r>
      <w:r w:rsidR="00C36905">
        <w:rPr>
          <w:rFonts w:ascii="Calibri" w:hAnsi="Calibri"/>
        </w:rPr>
        <w:t>mechani</w:t>
      </w:r>
      <w:r w:rsidR="00C724F1">
        <w:rPr>
          <w:rFonts w:ascii="Calibri" w:hAnsi="Calibri"/>
        </w:rPr>
        <w:t>s</w:t>
      </w:r>
      <w:r w:rsidR="00C36905">
        <w:rPr>
          <w:rFonts w:ascii="Calibri" w:hAnsi="Calibri"/>
        </w:rPr>
        <w:t>ms</w:t>
      </w:r>
      <w:r w:rsidR="00DD3971">
        <w:rPr>
          <w:rFonts w:ascii="Calibri" w:hAnsi="Calibri"/>
        </w:rPr>
        <w:t xml:space="preserve"> for</w:t>
      </w:r>
      <w:r w:rsidR="003A553B">
        <w:rPr>
          <w:rFonts w:ascii="Calibri" w:hAnsi="Calibri"/>
        </w:rPr>
        <w:t xml:space="preserve"> </w:t>
      </w:r>
      <w:r w:rsidR="00C724F1">
        <w:rPr>
          <w:rFonts w:ascii="Calibri" w:hAnsi="Calibri"/>
        </w:rPr>
        <w:t>IAB</w:t>
      </w:r>
      <w:r w:rsidR="00C36905">
        <w:rPr>
          <w:rFonts w:ascii="Calibri" w:hAnsi="Calibri"/>
        </w:rPr>
        <w:t xml:space="preserve"> link multiplexing</w:t>
      </w:r>
      <w:r w:rsidR="00E604D6">
        <w:rPr>
          <w:rFonts w:ascii="Calibri" w:hAnsi="Calibri"/>
        </w:rPr>
        <w:t>. The following proposals were made</w:t>
      </w:r>
      <w:r>
        <w:rPr>
          <w:rFonts w:ascii="Calibri" w:hAnsi="Calibri"/>
        </w:rPr>
        <w:t>:</w:t>
      </w:r>
    </w:p>
    <w:p w14:paraId="37A2899F" w14:textId="77777777" w:rsidR="00245C2C" w:rsidRDefault="00245C2C" w:rsidP="00245C2C">
      <w:pPr>
        <w:pStyle w:val="maintext"/>
        <w:ind w:firstLineChars="0" w:firstLine="0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 xml:space="preserve">Proposal 1: For IAB-MTs, in addition to the existing slot configuration period definition in 38.213, a new slot configuration period which supports UL-F-D patterns should be defined as the following: </w:t>
      </w:r>
    </w:p>
    <w:p w14:paraId="0805F067" w14:textId="3D521D71" w:rsidR="00245C2C" w:rsidRPr="00245C2C" w:rsidRDefault="00245C2C" w:rsidP="00245C2C">
      <w:pPr>
        <w:tabs>
          <w:tab w:val="left" w:pos="720"/>
        </w:tabs>
        <w:ind w:left="720"/>
        <w:rPr>
          <w:b/>
          <w:bCs/>
        </w:rPr>
      </w:pPr>
      <w:r w:rsidRPr="00245C2C">
        <w:rPr>
          <w:b/>
          <w:bCs/>
        </w:rPr>
        <w:t xml:space="preserve">A </w:t>
      </w:r>
      <w:r w:rsidRPr="00245C2C">
        <w:rPr>
          <w:b/>
          <w:bCs/>
          <w:lang w:eastAsia="zh-CN"/>
        </w:rPr>
        <w:t xml:space="preserve">slot configuration period of </w:t>
      </w:r>
      <w:r w:rsidR="006D1956" w:rsidRPr="006D1956">
        <w:rPr>
          <w:b/>
          <w:noProof/>
          <w:position w:val="-4"/>
        </w:rPr>
        <w:object w:dxaOrig="220" w:dyaOrig="220" w14:anchorId="04401D91">
          <v:shape id="_x0000_i1035" type="#_x0000_t75" alt="" style="width:14.2pt;height:12.1pt;mso-width-percent:0;mso-height-percent:0;mso-width-percent:0;mso-height-percent:0" o:ole="">
            <v:imagedata r:id="rId9" o:title=""/>
          </v:shape>
          <o:OLEObject Type="Embed" ProgID="Equation.3" ShapeID="_x0000_i1035" DrawAspect="Content" ObjectID="_1634734950" r:id="rId51"/>
        </w:object>
      </w:r>
      <w:r w:rsidRPr="00245C2C">
        <w:rPr>
          <w:b/>
          <w:bCs/>
          <w:lang w:eastAsia="zh-CN"/>
        </w:rPr>
        <w:t xml:space="preserve"> msec includes </w:t>
      </w:r>
      <w:r w:rsidR="006D1956" w:rsidRPr="006D1956">
        <w:rPr>
          <w:b/>
          <w:noProof/>
          <w:position w:val="-6"/>
        </w:rPr>
        <w:object w:dxaOrig="960" w:dyaOrig="300" w14:anchorId="6171C74C">
          <v:shape id="_x0000_i1034" type="#_x0000_t75" alt="" style="width:43.6pt;height:14.7pt;mso-width-percent:0;mso-height-percent:0;mso-width-percent:0;mso-height-percent:0" o:ole="">
            <v:imagedata r:id="rId11" o:title=""/>
          </v:shape>
          <o:OLEObject Type="Embed" ProgID="Equation.3" ShapeID="_x0000_i1034" DrawAspect="Content" ObjectID="_1634734951" r:id="rId52"/>
        </w:object>
      </w:r>
      <w:r w:rsidRPr="00245C2C">
        <w:rPr>
          <w:b/>
          <w:bCs/>
          <w:lang w:eastAsia="zh-CN"/>
        </w:rPr>
        <w:t xml:space="preserve"> </w:t>
      </w:r>
      <w:r w:rsidRPr="00245C2C">
        <w:rPr>
          <w:b/>
          <w:bCs/>
        </w:rPr>
        <w:t xml:space="preserve">slots with SCS configuration </w:t>
      </w:r>
      <w:r w:rsidR="006D1956" w:rsidRPr="006D1956">
        <w:rPr>
          <w:b/>
          <w:noProof/>
          <w:position w:val="-10"/>
        </w:rPr>
        <w:object w:dxaOrig="360" w:dyaOrig="300" w14:anchorId="07659383">
          <v:shape id="_x0000_i1033" type="#_x0000_t75" alt="" style="width:22.05pt;height:17.35pt;mso-width-percent:0;mso-height-percent:0;mso-width-percent:0;mso-height-percent:0" o:ole="">
            <v:imagedata r:id="rId13" o:title=""/>
          </v:shape>
          <o:OLEObject Type="Embed" ProgID="Equation.3" ShapeID="_x0000_i1033" DrawAspect="Content" ObjectID="_1634734952" r:id="rId53"/>
        </w:object>
      </w:r>
      <w:r w:rsidRPr="00245C2C">
        <w:rPr>
          <w:b/>
          <w:bCs/>
        </w:rPr>
        <w:t xml:space="preserve">. From the </w:t>
      </w:r>
      <w:r w:rsidR="006D1956" w:rsidRPr="006D1956">
        <w:rPr>
          <w:b/>
          <w:noProof/>
          <w:position w:val="-6"/>
        </w:rPr>
        <w:object w:dxaOrig="200" w:dyaOrig="240" w14:anchorId="3DDE70E3">
          <v:shape id="_x0000_i1032" type="#_x0000_t75" alt="" style="width:14.2pt;height:12.1pt;mso-width-percent:0;mso-height-percent:0;mso-width-percent:0;mso-height-percent:0" o:ole="">
            <v:imagedata r:id="rId15" o:title=""/>
          </v:shape>
          <o:OLEObject Type="Embed" ProgID="Equation.3" ShapeID="_x0000_i1032" DrawAspect="Content" ObjectID="_1634734953" r:id="rId54"/>
        </w:object>
      </w:r>
      <w:r w:rsidRPr="00245C2C">
        <w:rPr>
          <w:b/>
          <w:bCs/>
        </w:rPr>
        <w:t xml:space="preserve"> slots, a first </w:t>
      </w:r>
      <w:r w:rsidR="006D1956" w:rsidRPr="006D1956">
        <w:rPr>
          <w:b/>
          <w:noProof/>
          <w:position w:val="-10"/>
        </w:rPr>
        <w:object w:dxaOrig="400" w:dyaOrig="300" w14:anchorId="4DE1A711">
          <v:shape id="_x0000_i1031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31" DrawAspect="Content" ObjectID="_1634734955" r:id="rId55"/>
        </w:object>
      </w:r>
      <w:r w:rsidRPr="00245C2C">
        <w:rPr>
          <w:b/>
          <w:bCs/>
        </w:rPr>
        <w:t xml:space="preserve"> slots include only uplink symbols and a last </w:t>
      </w:r>
      <w:r w:rsidR="006D1956" w:rsidRPr="006D1956">
        <w:rPr>
          <w:b/>
          <w:noProof/>
          <w:position w:val="-10"/>
        </w:rPr>
        <w:pict w14:anchorId="0FC4FDB0">
          <v:shape id="_x0000_i1030" type="#_x0000_t75" alt="" style="width:22.05pt;height:18.4pt;mso-width-percent:0;mso-height-percent:0;mso-width-percent:0;mso-height-percent:0">
            <v:imagedata r:id="rId17" o:title=""/>
          </v:shape>
        </w:pict>
      </w:r>
      <w:r w:rsidRPr="00245C2C">
        <w:rPr>
          <w:b/>
          <w:bCs/>
        </w:rPr>
        <w:t xml:space="preserve"> slots include only downlink symbols. The </w:t>
      </w:r>
      <w:r w:rsidR="006D1956" w:rsidRPr="006D1956">
        <w:rPr>
          <w:b/>
          <w:noProof/>
          <w:position w:val="-12"/>
        </w:rPr>
        <w:object w:dxaOrig="380" w:dyaOrig="320" w14:anchorId="5C1237F5">
          <v:shape id="_x0000_i1029" type="#_x0000_t75" alt="" style="width:19.45pt;height:18.4pt;mso-width-percent:0;mso-height-percent:0;mso-width-percent:0;mso-height-percent:0" o:ole="">
            <v:imagedata r:id="rId24" o:title=""/>
          </v:shape>
          <o:OLEObject Type="Embed" ProgID="Equation.3" ShapeID="_x0000_i1029" DrawAspect="Content" ObjectID="_1634734956" r:id="rId56"/>
        </w:object>
      </w:r>
      <w:r w:rsidRPr="00245C2C">
        <w:rPr>
          <w:b/>
          <w:bCs/>
        </w:rPr>
        <w:t xml:space="preserve"> symbols after the first </w:t>
      </w:r>
      <w:r w:rsidR="006D1956" w:rsidRPr="006D1956">
        <w:rPr>
          <w:b/>
          <w:noProof/>
          <w:position w:val="-10"/>
        </w:rPr>
        <w:object w:dxaOrig="400" w:dyaOrig="300" w14:anchorId="20CC68BC">
          <v:shape id="_x0000_i1028" type="#_x0000_t75" alt="" style="width:22.05pt;height:17.35pt;mso-width-percent:0;mso-height-percent:0;mso-width-percent:0;mso-height-percent:0" o:ole="">
            <v:imagedata r:id="rId19" o:title=""/>
          </v:shape>
          <o:OLEObject Type="Embed" ProgID="Equation.3" ShapeID="_x0000_i1028" DrawAspect="Content" ObjectID="_1634734957" r:id="rId57"/>
        </w:object>
      </w:r>
      <w:r w:rsidRPr="00245C2C">
        <w:rPr>
          <w:b/>
          <w:bCs/>
        </w:rPr>
        <w:t xml:space="preserve"> slots are uplink symbols. The </w:t>
      </w:r>
      <w:r w:rsidR="006D1956" w:rsidRPr="006D1956">
        <w:rPr>
          <w:b/>
          <w:noProof/>
          <w:position w:val="-12"/>
        </w:rPr>
        <w:object w:dxaOrig="400" w:dyaOrig="320" w14:anchorId="4BDEC30A">
          <v:shape id="_x0000_i1027" type="#_x0000_t75" alt="" style="width:22.05pt;height:18.4pt;mso-width-percent:0;mso-height-percent:0;mso-width-percent:0;mso-height-percent:0" o:ole="">
            <v:imagedata r:id="rId21" o:title=""/>
          </v:shape>
          <o:OLEObject Type="Embed" ProgID="Equation.3" ShapeID="_x0000_i1027" DrawAspect="Content" ObjectID="_1634734958" r:id="rId58"/>
        </w:object>
      </w:r>
      <w:r w:rsidRPr="00245C2C">
        <w:rPr>
          <w:b/>
          <w:bCs/>
        </w:rPr>
        <w:t xml:space="preserve"> symbols before the last </w:t>
      </w:r>
      <w:r w:rsidR="006D1956" w:rsidRPr="006D1956">
        <w:rPr>
          <w:b/>
          <w:noProof/>
          <w:position w:val="-10"/>
        </w:rPr>
        <w:object w:dxaOrig="420" w:dyaOrig="300" w14:anchorId="1788AB30">
          <v:shape id="_x0000_i1026" type="#_x0000_t75" alt="" style="width:22.05pt;height:18.4pt;mso-width-percent:0;mso-height-percent:0;mso-width-percent:0;mso-height-percent:0" o:ole="">
            <v:imagedata r:id="rId17" o:title=""/>
          </v:shape>
          <o:OLEObject Type="Embed" ProgID="Equation.3" ShapeID="_x0000_i1026" DrawAspect="Content" ObjectID="_1634734959" r:id="rId59"/>
        </w:object>
      </w:r>
      <w:r w:rsidRPr="00245C2C">
        <w:rPr>
          <w:b/>
          <w:bCs/>
        </w:rPr>
        <w:t xml:space="preserve"> slots are downlink symbols. The remaining </w:t>
      </w:r>
      <w:r w:rsidR="006D1956" w:rsidRPr="006D1956">
        <w:rPr>
          <w:b/>
          <w:noProof/>
          <w:position w:val="-12"/>
        </w:rPr>
        <w:object w:dxaOrig="2740" w:dyaOrig="360" w14:anchorId="5EBFEC49">
          <v:shape id="_x0000_i1025" type="#_x0000_t75" alt="" style="width:129.3pt;height:19.45pt;mso-width-percent:0;mso-height-percent:0;mso-width-percent:0;mso-height-percent:0" o:ole="">
            <v:imagedata r:id="rId27" o:title=""/>
          </v:shape>
          <o:OLEObject Type="Embed" ProgID="Equation.3" ShapeID="_x0000_i1025" DrawAspect="Content" ObjectID="_1634734960" r:id="rId60"/>
        </w:object>
      </w:r>
      <w:r w:rsidRPr="00245C2C">
        <w:rPr>
          <w:b/>
          <w:bCs/>
        </w:rPr>
        <w:t xml:space="preserve"> are flexible symbols. </w:t>
      </w:r>
    </w:p>
    <w:p w14:paraId="61807F06" w14:textId="12404F58" w:rsidR="00245C2C" w:rsidRPr="00245C2C" w:rsidRDefault="00245C2C" w:rsidP="009147F1">
      <w:pPr>
        <w:pStyle w:val="maintext"/>
        <w:ind w:firstLineChars="0" w:firstLine="0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Proposal 2: The upper layer parameter TDD-UL-DL-Config-IAB-MT should indicate whether the legacy slot configuration period definition or a new slot configuration period supporting UL-F-D patterns should be assumed by the IAB-MT.</w:t>
      </w:r>
      <w:bookmarkStart w:id="3" w:name="_GoBack"/>
      <w:bookmarkEnd w:id="3"/>
    </w:p>
    <w:p w14:paraId="14850562" w14:textId="66E45AE9" w:rsidR="009147F1" w:rsidRDefault="009147F1" w:rsidP="009147F1">
      <w:pPr>
        <w:pStyle w:val="maintext"/>
        <w:ind w:firstLineChars="0" w:firstLine="0"/>
        <w:rPr>
          <w:rFonts w:ascii="Calibri" w:hAnsi="Calibri"/>
          <w:b/>
        </w:rPr>
      </w:pPr>
      <w:r w:rsidRPr="00057E9B">
        <w:rPr>
          <w:rFonts w:ascii="Calibri" w:hAnsi="Calibri"/>
          <w:b/>
        </w:rPr>
        <w:t xml:space="preserve">Proposal </w:t>
      </w:r>
      <w:r w:rsidR="00245C2C">
        <w:rPr>
          <w:rFonts w:ascii="Calibri" w:hAnsi="Calibri"/>
          <w:b/>
        </w:rPr>
        <w:t>3</w:t>
      </w:r>
      <w:r w:rsidRPr="00057E9B">
        <w:rPr>
          <w:rFonts w:ascii="Calibri" w:hAnsi="Calibri"/>
          <w:b/>
        </w:rPr>
        <w:t xml:space="preserve">: </w:t>
      </w:r>
      <w:r>
        <w:rPr>
          <w:rFonts w:ascii="Calibri" w:hAnsi="Calibri"/>
          <w:b/>
        </w:rPr>
        <w:t>The following new slot formats should be defined for use by IAB-nodes (DUs and MTs) in the semi-static F1-AP and RRC configurations, and as part the SFI in DCI Format 2_0:</w:t>
      </w:r>
    </w:p>
    <w:p w14:paraId="4E2C38CC" w14:textId="77777777" w:rsidR="00C36905" w:rsidRDefault="00C36905" w:rsidP="00C36905">
      <w:pPr>
        <w:pStyle w:val="maintext"/>
        <w:ind w:firstLineChars="0" w:firstLine="0"/>
        <w:rPr>
          <w:rFonts w:ascii="Calibri" w:hAnsi="Calibr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71"/>
        <w:gridCol w:w="571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C36905" w14:paraId="7B9F6652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CCC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43B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9CC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DF4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529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A7E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2D3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F24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FFE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C69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476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45F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7DD5" w14:textId="77777777" w:rsidR="00C36905" w:rsidRDefault="00C36905" w:rsidP="00FC5269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318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575BB99D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622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6B6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4A4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690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117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55C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6EF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DD3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290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D06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79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4D7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C219" w14:textId="77777777" w:rsidR="00C36905" w:rsidRDefault="00C36905" w:rsidP="00FC5269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256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</w:tr>
      <w:tr w:rsidR="00C36905" w14:paraId="61DF59B0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8EE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301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21F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E5F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F72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374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B44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C99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1F3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47E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767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44E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99C1" w14:textId="77777777" w:rsidR="00C36905" w:rsidRDefault="00C36905" w:rsidP="00FC5269">
            <w:pPr>
              <w:keepNext/>
              <w:keepLines/>
              <w:rPr>
                <w:sz w:val="18"/>
              </w:rPr>
            </w:pPr>
            <w:r>
              <w:rPr>
                <w:sz w:val="18"/>
              </w:rPr>
              <w:t xml:space="preserve">  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454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</w:tr>
      <w:tr w:rsidR="00C36905" w14:paraId="7A0E9E51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00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7C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A4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11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FD2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8C6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0CB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72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00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82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4C3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D71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7A4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3C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21E13D10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7AA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11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F0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51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08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D2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CF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CE2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500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470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41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C2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B5B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BC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178F4073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E0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2B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68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421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9A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5EE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5A9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10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062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2AB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D7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D6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5C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C14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4435BF9E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4C5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F01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1A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E5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89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22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B07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01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12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E1B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284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78D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29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BEE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7E2BC467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B7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1A1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2A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56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945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B7F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BB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93B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24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1C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C4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F42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11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01D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30ED297B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B20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3A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2A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166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1D7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88D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AB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5EC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99A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F5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78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8B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61B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9E9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55C74323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6E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AB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D2B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3D6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AA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24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4CB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D22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777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54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904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05C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4A6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0A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3E713D27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689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84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18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368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465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352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7EC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43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418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4C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809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23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AD6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05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5744181B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1F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DD0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EA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2A1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1DA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8E2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8D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6B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FD0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1F5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CA4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43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0B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1C5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5504ACA3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A4F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6E4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B8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B3B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F6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C8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C9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887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22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50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6C4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CFD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D5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BB1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6FD037E2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B0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F9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C69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752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2AB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9D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8DF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891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B1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87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24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F5B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B3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C88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69BFC5E3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15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807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43F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34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33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7EC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F0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285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E7D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92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B8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08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9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63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07DF1B35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C9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C27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27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B74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A8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C8D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9A9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0B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2F8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25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8D1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BAB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2A97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57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63B4824C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83D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A2C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683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1D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7B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9E0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A6B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B3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538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93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03E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A97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23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2B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134A0C8B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7E3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FCD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75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B1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CFF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3C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42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25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644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86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CD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05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08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1AD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37D0A388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0D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DE9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0F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EF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467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47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51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5910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888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14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CB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A0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24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E0C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363C9F65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7AA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9E1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171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C58A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2676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2E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5192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0F0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5F5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5D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C7A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5E3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75E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89F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  <w:tr w:rsidR="00C36905" w14:paraId="4E8889DE" w14:textId="77777777" w:rsidTr="00FC5269">
        <w:trPr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AC0C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7B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CB15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48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A8C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324F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43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571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E5B9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5D8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EE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43AD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F4B4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615B" w14:textId="77777777" w:rsidR="00C36905" w:rsidRDefault="00C36905" w:rsidP="00FC5269">
            <w:pPr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U</w:t>
            </w:r>
          </w:p>
        </w:tc>
      </w:tr>
    </w:tbl>
    <w:p w14:paraId="17D7CBB8" w14:textId="77777777" w:rsidR="002007EE" w:rsidRDefault="002007EE" w:rsidP="008A00F0">
      <w:pPr>
        <w:pStyle w:val="maintext"/>
        <w:ind w:firstLineChars="0" w:firstLine="0"/>
      </w:pPr>
    </w:p>
    <w:p w14:paraId="4CAEFFED" w14:textId="3D493A66" w:rsidR="00FE6C15" w:rsidRPr="0076067D" w:rsidRDefault="00FE6C15" w:rsidP="0076067D">
      <w:pPr>
        <w:pStyle w:val="Heading1"/>
      </w:pPr>
      <w:r>
        <w:lastRenderedPageBreak/>
        <w:t>Reference</w:t>
      </w:r>
      <w:r w:rsidR="00245C2C">
        <w:t>s</w:t>
      </w:r>
    </w:p>
    <w:p w14:paraId="709CF5C5" w14:textId="77777777" w:rsidR="008F676A" w:rsidRDefault="008F676A" w:rsidP="008F676A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4" w:name="_Hlk534835874"/>
      <w:r>
        <w:rPr>
          <w:rFonts w:cs="Times New Roman"/>
          <w:lang w:eastAsia="ko-KR"/>
        </w:rPr>
        <w:t xml:space="preserve">[1] RP-182882, </w:t>
      </w:r>
      <w:r w:rsidRPr="004131D6">
        <w:rPr>
          <w:rFonts w:cs="Times New Roman"/>
          <w:lang w:eastAsia="ko-KR"/>
        </w:rPr>
        <w:t>New WID: Integrated Access and Backhaul for NR</w:t>
      </w:r>
      <w:r>
        <w:rPr>
          <w:rFonts w:cs="Times New Roman"/>
          <w:lang w:eastAsia="ko-KR"/>
        </w:rPr>
        <w:t>, Qualcomm</w:t>
      </w:r>
    </w:p>
    <w:p w14:paraId="508D7C21" w14:textId="77777777" w:rsidR="008F676A" w:rsidRPr="00A54900" w:rsidRDefault="008F676A" w:rsidP="008F676A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TR 38.874 1.0.0, </w:t>
      </w:r>
      <w:r>
        <w:rPr>
          <w:rFonts w:cs="Arial"/>
        </w:rPr>
        <w:t>Study on Integrated Access and Backhaul</w:t>
      </w:r>
    </w:p>
    <w:bookmarkEnd w:id="4"/>
    <w:p w14:paraId="5EDFD7AD" w14:textId="77777777" w:rsidR="00FE6C15" w:rsidRPr="00B12672" w:rsidRDefault="00FE6C15" w:rsidP="00172743">
      <w:pPr>
        <w:spacing w:before="0" w:after="0"/>
        <w:rPr>
          <w:rFonts w:ascii="Calibri" w:hAnsi="Calibri" w:cs="Arial"/>
          <w:b/>
        </w:rPr>
      </w:pPr>
    </w:p>
    <w:sectPr w:rsidR="00FE6C15" w:rsidRPr="00B12672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7DFE2" w14:textId="77777777" w:rsidR="006D1956" w:rsidRDefault="006D1956" w:rsidP="00424124">
      <w:pPr>
        <w:spacing w:before="0" w:after="0"/>
      </w:pPr>
      <w:r>
        <w:separator/>
      </w:r>
    </w:p>
  </w:endnote>
  <w:endnote w:type="continuationSeparator" w:id="0">
    <w:p w14:paraId="324A70BA" w14:textId="77777777" w:rsidR="006D1956" w:rsidRDefault="006D1956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749CD" w14:textId="77777777" w:rsidR="006D1956" w:rsidRDefault="006D1956" w:rsidP="00424124">
      <w:pPr>
        <w:spacing w:before="0" w:after="0"/>
      </w:pPr>
      <w:r>
        <w:separator/>
      </w:r>
    </w:p>
  </w:footnote>
  <w:footnote w:type="continuationSeparator" w:id="0">
    <w:p w14:paraId="2706F2BC" w14:textId="77777777" w:rsidR="006D1956" w:rsidRDefault="006D1956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5CC5DF1"/>
    <w:multiLevelType w:val="hybridMultilevel"/>
    <w:tmpl w:val="6DB88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463913"/>
    <w:multiLevelType w:val="hybridMultilevel"/>
    <w:tmpl w:val="D6DAE6A4"/>
    <w:lvl w:ilvl="0" w:tplc="8F149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412606"/>
    <w:multiLevelType w:val="hybridMultilevel"/>
    <w:tmpl w:val="D6DAE6A4"/>
    <w:lvl w:ilvl="0" w:tplc="8F149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96EE0"/>
    <w:multiLevelType w:val="hybridMultilevel"/>
    <w:tmpl w:val="D6DAE6A4"/>
    <w:lvl w:ilvl="0" w:tplc="8F149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406853"/>
    <w:multiLevelType w:val="hybridMultilevel"/>
    <w:tmpl w:val="2710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C1B02"/>
    <w:multiLevelType w:val="hybridMultilevel"/>
    <w:tmpl w:val="D6DAE6A4"/>
    <w:lvl w:ilvl="0" w:tplc="8F149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07AED"/>
    <w:multiLevelType w:val="hybridMultilevel"/>
    <w:tmpl w:val="95BA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60F2B"/>
    <w:multiLevelType w:val="hybridMultilevel"/>
    <w:tmpl w:val="468CF43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0A440A"/>
    <w:multiLevelType w:val="hybridMultilevel"/>
    <w:tmpl w:val="0BBEE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7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5"/>
  </w:num>
  <w:num w:numId="8">
    <w:abstractNumId w:val="15"/>
  </w:num>
  <w:num w:numId="9">
    <w:abstractNumId w:val="2"/>
  </w:num>
  <w:num w:numId="10">
    <w:abstractNumId w:val="3"/>
  </w:num>
  <w:num w:numId="11">
    <w:abstractNumId w:val="18"/>
  </w:num>
  <w:num w:numId="12">
    <w:abstractNumId w:val="9"/>
  </w:num>
  <w:num w:numId="13">
    <w:abstractNumId w:val="10"/>
  </w:num>
  <w:num w:numId="14">
    <w:abstractNumId w:val="26"/>
  </w:num>
  <w:num w:numId="15">
    <w:abstractNumId w:val="1"/>
  </w:num>
  <w:num w:numId="16">
    <w:abstractNumId w:val="24"/>
  </w:num>
  <w:num w:numId="17">
    <w:abstractNumId w:val="16"/>
  </w:num>
  <w:num w:numId="18">
    <w:abstractNumId w:val="11"/>
  </w:num>
  <w:num w:numId="19">
    <w:abstractNumId w:val="25"/>
  </w:num>
  <w:num w:numId="20">
    <w:abstractNumId w:val="14"/>
  </w:num>
  <w:num w:numId="21">
    <w:abstractNumId w:val="7"/>
  </w:num>
  <w:num w:numId="22">
    <w:abstractNumId w:val="8"/>
  </w:num>
  <w:num w:numId="23">
    <w:abstractNumId w:val="20"/>
  </w:num>
  <w:num w:numId="24">
    <w:abstractNumId w:val="19"/>
  </w:num>
  <w:num w:numId="25">
    <w:abstractNumId w:val="23"/>
  </w:num>
  <w:num w:numId="26">
    <w:abstractNumId w:val="13"/>
  </w:num>
  <w:num w:numId="2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05D82"/>
    <w:rsid w:val="0001485D"/>
    <w:rsid w:val="000149EC"/>
    <w:rsid w:val="00020F1A"/>
    <w:rsid w:val="00031AB6"/>
    <w:rsid w:val="00032D47"/>
    <w:rsid w:val="000337FC"/>
    <w:rsid w:val="000440EF"/>
    <w:rsid w:val="000455B3"/>
    <w:rsid w:val="000463E4"/>
    <w:rsid w:val="00051B4B"/>
    <w:rsid w:val="00051EBB"/>
    <w:rsid w:val="0005289E"/>
    <w:rsid w:val="000550BC"/>
    <w:rsid w:val="00057E9B"/>
    <w:rsid w:val="000643C2"/>
    <w:rsid w:val="000643FA"/>
    <w:rsid w:val="00070728"/>
    <w:rsid w:val="000730C9"/>
    <w:rsid w:val="0007575F"/>
    <w:rsid w:val="00075B2C"/>
    <w:rsid w:val="00075FD1"/>
    <w:rsid w:val="00077712"/>
    <w:rsid w:val="00085800"/>
    <w:rsid w:val="000865E3"/>
    <w:rsid w:val="000917C5"/>
    <w:rsid w:val="00097DC6"/>
    <w:rsid w:val="000A36A9"/>
    <w:rsid w:val="000B0720"/>
    <w:rsid w:val="000B58AF"/>
    <w:rsid w:val="000B6D99"/>
    <w:rsid w:val="000C05C0"/>
    <w:rsid w:val="000C21D0"/>
    <w:rsid w:val="000C57B9"/>
    <w:rsid w:val="000D38DC"/>
    <w:rsid w:val="000E29D8"/>
    <w:rsid w:val="000F259D"/>
    <w:rsid w:val="0010303E"/>
    <w:rsid w:val="0011327D"/>
    <w:rsid w:val="00116DA6"/>
    <w:rsid w:val="001279BC"/>
    <w:rsid w:val="00127B93"/>
    <w:rsid w:val="00137E15"/>
    <w:rsid w:val="001417A8"/>
    <w:rsid w:val="0015279F"/>
    <w:rsid w:val="00153793"/>
    <w:rsid w:val="00155BC2"/>
    <w:rsid w:val="00161629"/>
    <w:rsid w:val="00163AD0"/>
    <w:rsid w:val="00172743"/>
    <w:rsid w:val="00175301"/>
    <w:rsid w:val="001A5A68"/>
    <w:rsid w:val="001A6212"/>
    <w:rsid w:val="001A75E0"/>
    <w:rsid w:val="001B731B"/>
    <w:rsid w:val="001C4ACE"/>
    <w:rsid w:val="001C699C"/>
    <w:rsid w:val="001E02F3"/>
    <w:rsid w:val="001E0CE1"/>
    <w:rsid w:val="001E58CC"/>
    <w:rsid w:val="001E602E"/>
    <w:rsid w:val="001F02DD"/>
    <w:rsid w:val="001F2A01"/>
    <w:rsid w:val="001F59ED"/>
    <w:rsid w:val="002007EE"/>
    <w:rsid w:val="002013B3"/>
    <w:rsid w:val="00201870"/>
    <w:rsid w:val="0021170E"/>
    <w:rsid w:val="00211D37"/>
    <w:rsid w:val="00212204"/>
    <w:rsid w:val="0021262A"/>
    <w:rsid w:val="00216763"/>
    <w:rsid w:val="00222269"/>
    <w:rsid w:val="00222811"/>
    <w:rsid w:val="00225464"/>
    <w:rsid w:val="00233D70"/>
    <w:rsid w:val="00235373"/>
    <w:rsid w:val="00242080"/>
    <w:rsid w:val="002427E5"/>
    <w:rsid w:val="00245C2C"/>
    <w:rsid w:val="00246D61"/>
    <w:rsid w:val="0024786A"/>
    <w:rsid w:val="0025058B"/>
    <w:rsid w:val="002528A7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973"/>
    <w:rsid w:val="00287D4D"/>
    <w:rsid w:val="00287D80"/>
    <w:rsid w:val="0029112F"/>
    <w:rsid w:val="0029147A"/>
    <w:rsid w:val="002914D5"/>
    <w:rsid w:val="00297225"/>
    <w:rsid w:val="002A005E"/>
    <w:rsid w:val="002A0270"/>
    <w:rsid w:val="002A66E2"/>
    <w:rsid w:val="002B4932"/>
    <w:rsid w:val="002B6E52"/>
    <w:rsid w:val="002C0488"/>
    <w:rsid w:val="002C4097"/>
    <w:rsid w:val="002C594E"/>
    <w:rsid w:val="002D3D42"/>
    <w:rsid w:val="002D479B"/>
    <w:rsid w:val="002D5698"/>
    <w:rsid w:val="002D6EC9"/>
    <w:rsid w:val="002D787B"/>
    <w:rsid w:val="002E188B"/>
    <w:rsid w:val="002E65B5"/>
    <w:rsid w:val="002F2F26"/>
    <w:rsid w:val="002F4C25"/>
    <w:rsid w:val="003141F5"/>
    <w:rsid w:val="00315DC4"/>
    <w:rsid w:val="00317020"/>
    <w:rsid w:val="00320B4D"/>
    <w:rsid w:val="00326FF6"/>
    <w:rsid w:val="00327A22"/>
    <w:rsid w:val="00332BB8"/>
    <w:rsid w:val="0033513A"/>
    <w:rsid w:val="00342130"/>
    <w:rsid w:val="00346605"/>
    <w:rsid w:val="00347824"/>
    <w:rsid w:val="0035318F"/>
    <w:rsid w:val="00354C01"/>
    <w:rsid w:val="0036306A"/>
    <w:rsid w:val="003727DB"/>
    <w:rsid w:val="00380BBB"/>
    <w:rsid w:val="00385177"/>
    <w:rsid w:val="00386642"/>
    <w:rsid w:val="00392176"/>
    <w:rsid w:val="003921D6"/>
    <w:rsid w:val="003A0594"/>
    <w:rsid w:val="003A298A"/>
    <w:rsid w:val="003A553B"/>
    <w:rsid w:val="003A566A"/>
    <w:rsid w:val="003B1EC9"/>
    <w:rsid w:val="003B5456"/>
    <w:rsid w:val="003C2392"/>
    <w:rsid w:val="003C2E75"/>
    <w:rsid w:val="003E1304"/>
    <w:rsid w:val="003E2741"/>
    <w:rsid w:val="003E306F"/>
    <w:rsid w:val="003E35D4"/>
    <w:rsid w:val="003E7121"/>
    <w:rsid w:val="003F0731"/>
    <w:rsid w:val="003F33B4"/>
    <w:rsid w:val="004011AC"/>
    <w:rsid w:val="00405F6D"/>
    <w:rsid w:val="00407F18"/>
    <w:rsid w:val="00424124"/>
    <w:rsid w:val="00434212"/>
    <w:rsid w:val="00440F6E"/>
    <w:rsid w:val="00443645"/>
    <w:rsid w:val="00443CD6"/>
    <w:rsid w:val="00454EE3"/>
    <w:rsid w:val="004552C9"/>
    <w:rsid w:val="004607AC"/>
    <w:rsid w:val="0046127E"/>
    <w:rsid w:val="00466E46"/>
    <w:rsid w:val="004678E1"/>
    <w:rsid w:val="004709B7"/>
    <w:rsid w:val="00473281"/>
    <w:rsid w:val="00473B68"/>
    <w:rsid w:val="0048301B"/>
    <w:rsid w:val="004A5ABE"/>
    <w:rsid w:val="004A6424"/>
    <w:rsid w:val="004A69D0"/>
    <w:rsid w:val="004A6A82"/>
    <w:rsid w:val="004A72C2"/>
    <w:rsid w:val="004B6AA8"/>
    <w:rsid w:val="004B6E00"/>
    <w:rsid w:val="004B7BD3"/>
    <w:rsid w:val="004C130E"/>
    <w:rsid w:val="004C186B"/>
    <w:rsid w:val="004C38DD"/>
    <w:rsid w:val="004C3F2E"/>
    <w:rsid w:val="004C4856"/>
    <w:rsid w:val="004C6DC3"/>
    <w:rsid w:val="004C6ED8"/>
    <w:rsid w:val="004C7784"/>
    <w:rsid w:val="004D453B"/>
    <w:rsid w:val="004D780D"/>
    <w:rsid w:val="004D7CF8"/>
    <w:rsid w:val="004E6BC0"/>
    <w:rsid w:val="004E6D3B"/>
    <w:rsid w:val="005007E9"/>
    <w:rsid w:val="00504C05"/>
    <w:rsid w:val="00504E5F"/>
    <w:rsid w:val="005055A6"/>
    <w:rsid w:val="00507060"/>
    <w:rsid w:val="0051179B"/>
    <w:rsid w:val="005121EE"/>
    <w:rsid w:val="00512838"/>
    <w:rsid w:val="0051424F"/>
    <w:rsid w:val="00523623"/>
    <w:rsid w:val="005300F0"/>
    <w:rsid w:val="005363F5"/>
    <w:rsid w:val="00541819"/>
    <w:rsid w:val="0054560C"/>
    <w:rsid w:val="00545FD3"/>
    <w:rsid w:val="00551C99"/>
    <w:rsid w:val="0055464C"/>
    <w:rsid w:val="0056238B"/>
    <w:rsid w:val="00565BDB"/>
    <w:rsid w:val="005666A4"/>
    <w:rsid w:val="0057145F"/>
    <w:rsid w:val="00575859"/>
    <w:rsid w:val="005758E7"/>
    <w:rsid w:val="005778C8"/>
    <w:rsid w:val="0058120D"/>
    <w:rsid w:val="005A18B4"/>
    <w:rsid w:val="005A60B4"/>
    <w:rsid w:val="005B47BD"/>
    <w:rsid w:val="005B69C2"/>
    <w:rsid w:val="005B6FA6"/>
    <w:rsid w:val="005D2C51"/>
    <w:rsid w:val="005F21BF"/>
    <w:rsid w:val="005F613D"/>
    <w:rsid w:val="00600F57"/>
    <w:rsid w:val="00603015"/>
    <w:rsid w:val="0060432C"/>
    <w:rsid w:val="0060603E"/>
    <w:rsid w:val="00624678"/>
    <w:rsid w:val="00632789"/>
    <w:rsid w:val="00633934"/>
    <w:rsid w:val="00634707"/>
    <w:rsid w:val="00636F9E"/>
    <w:rsid w:val="006439F2"/>
    <w:rsid w:val="00644034"/>
    <w:rsid w:val="006477B7"/>
    <w:rsid w:val="00652AC8"/>
    <w:rsid w:val="0065437E"/>
    <w:rsid w:val="0066157D"/>
    <w:rsid w:val="006703A8"/>
    <w:rsid w:val="0067125A"/>
    <w:rsid w:val="00671E30"/>
    <w:rsid w:val="006726B2"/>
    <w:rsid w:val="006756FB"/>
    <w:rsid w:val="00677BD0"/>
    <w:rsid w:val="00685B82"/>
    <w:rsid w:val="00685E11"/>
    <w:rsid w:val="0069705B"/>
    <w:rsid w:val="006A0EDC"/>
    <w:rsid w:val="006A18DB"/>
    <w:rsid w:val="006A2D2E"/>
    <w:rsid w:val="006C0BAC"/>
    <w:rsid w:val="006C452E"/>
    <w:rsid w:val="006C7692"/>
    <w:rsid w:val="006D1956"/>
    <w:rsid w:val="006D6ABC"/>
    <w:rsid w:val="006E790B"/>
    <w:rsid w:val="006F055C"/>
    <w:rsid w:val="006F52D9"/>
    <w:rsid w:val="00702C40"/>
    <w:rsid w:val="00707D20"/>
    <w:rsid w:val="00710F58"/>
    <w:rsid w:val="00713175"/>
    <w:rsid w:val="00713382"/>
    <w:rsid w:val="00714B77"/>
    <w:rsid w:val="00714CA5"/>
    <w:rsid w:val="00721AD7"/>
    <w:rsid w:val="007225EF"/>
    <w:rsid w:val="00722BA6"/>
    <w:rsid w:val="00723DC5"/>
    <w:rsid w:val="00726B84"/>
    <w:rsid w:val="00727952"/>
    <w:rsid w:val="0073093E"/>
    <w:rsid w:val="007316AF"/>
    <w:rsid w:val="007338D6"/>
    <w:rsid w:val="00740B36"/>
    <w:rsid w:val="00745452"/>
    <w:rsid w:val="00747A6F"/>
    <w:rsid w:val="0075622F"/>
    <w:rsid w:val="0076067D"/>
    <w:rsid w:val="007639B9"/>
    <w:rsid w:val="00766B7B"/>
    <w:rsid w:val="00782CDC"/>
    <w:rsid w:val="007839F9"/>
    <w:rsid w:val="00784132"/>
    <w:rsid w:val="00786229"/>
    <w:rsid w:val="0078708D"/>
    <w:rsid w:val="00787145"/>
    <w:rsid w:val="00787B23"/>
    <w:rsid w:val="00791D57"/>
    <w:rsid w:val="007A2765"/>
    <w:rsid w:val="007B13E5"/>
    <w:rsid w:val="007B2F6B"/>
    <w:rsid w:val="007B473A"/>
    <w:rsid w:val="007C350F"/>
    <w:rsid w:val="007C4B85"/>
    <w:rsid w:val="007D0BB2"/>
    <w:rsid w:val="007D2C48"/>
    <w:rsid w:val="007D498E"/>
    <w:rsid w:val="007E1060"/>
    <w:rsid w:val="007E546F"/>
    <w:rsid w:val="007F0AF3"/>
    <w:rsid w:val="007F1928"/>
    <w:rsid w:val="007F392E"/>
    <w:rsid w:val="00811A1B"/>
    <w:rsid w:val="00814815"/>
    <w:rsid w:val="00815023"/>
    <w:rsid w:val="00824DED"/>
    <w:rsid w:val="00826E5A"/>
    <w:rsid w:val="0083713D"/>
    <w:rsid w:val="008403AA"/>
    <w:rsid w:val="008437B2"/>
    <w:rsid w:val="00843F1C"/>
    <w:rsid w:val="00850DCE"/>
    <w:rsid w:val="00853591"/>
    <w:rsid w:val="00854FBB"/>
    <w:rsid w:val="008563DB"/>
    <w:rsid w:val="0086373E"/>
    <w:rsid w:val="008661BA"/>
    <w:rsid w:val="008671A6"/>
    <w:rsid w:val="00871024"/>
    <w:rsid w:val="0087144B"/>
    <w:rsid w:val="00871CA8"/>
    <w:rsid w:val="00872D80"/>
    <w:rsid w:val="00872E80"/>
    <w:rsid w:val="008747AA"/>
    <w:rsid w:val="008810D4"/>
    <w:rsid w:val="00885004"/>
    <w:rsid w:val="00886940"/>
    <w:rsid w:val="00886B7B"/>
    <w:rsid w:val="00887AB4"/>
    <w:rsid w:val="00894290"/>
    <w:rsid w:val="008A00F0"/>
    <w:rsid w:val="008A25A1"/>
    <w:rsid w:val="008B39B6"/>
    <w:rsid w:val="008C1AFD"/>
    <w:rsid w:val="008C4B67"/>
    <w:rsid w:val="008D1AEF"/>
    <w:rsid w:val="008E48C2"/>
    <w:rsid w:val="008F0D8C"/>
    <w:rsid w:val="008F2160"/>
    <w:rsid w:val="008F676A"/>
    <w:rsid w:val="00901B67"/>
    <w:rsid w:val="00905E86"/>
    <w:rsid w:val="009124E4"/>
    <w:rsid w:val="00914163"/>
    <w:rsid w:val="009147F1"/>
    <w:rsid w:val="00917D0F"/>
    <w:rsid w:val="00924EA9"/>
    <w:rsid w:val="00925FA2"/>
    <w:rsid w:val="00926A9C"/>
    <w:rsid w:val="00927803"/>
    <w:rsid w:val="00940101"/>
    <w:rsid w:val="00940DAB"/>
    <w:rsid w:val="009453B3"/>
    <w:rsid w:val="009550DA"/>
    <w:rsid w:val="00957CD1"/>
    <w:rsid w:val="00961DB2"/>
    <w:rsid w:val="0097292F"/>
    <w:rsid w:val="009741D9"/>
    <w:rsid w:val="00974C06"/>
    <w:rsid w:val="009750CC"/>
    <w:rsid w:val="00980746"/>
    <w:rsid w:val="00982CA4"/>
    <w:rsid w:val="00984235"/>
    <w:rsid w:val="00992432"/>
    <w:rsid w:val="00993D92"/>
    <w:rsid w:val="00997E4E"/>
    <w:rsid w:val="009A4D63"/>
    <w:rsid w:val="009A54FC"/>
    <w:rsid w:val="009B08C5"/>
    <w:rsid w:val="009B52C0"/>
    <w:rsid w:val="009B75E8"/>
    <w:rsid w:val="009C2167"/>
    <w:rsid w:val="009D46C1"/>
    <w:rsid w:val="009E0D02"/>
    <w:rsid w:val="009E4418"/>
    <w:rsid w:val="009E5838"/>
    <w:rsid w:val="00A0235E"/>
    <w:rsid w:val="00A04526"/>
    <w:rsid w:val="00A11704"/>
    <w:rsid w:val="00A11840"/>
    <w:rsid w:val="00A13160"/>
    <w:rsid w:val="00A21D13"/>
    <w:rsid w:val="00A22671"/>
    <w:rsid w:val="00A22C61"/>
    <w:rsid w:val="00A25311"/>
    <w:rsid w:val="00A262E4"/>
    <w:rsid w:val="00A26EC3"/>
    <w:rsid w:val="00A300E0"/>
    <w:rsid w:val="00A359C7"/>
    <w:rsid w:val="00A41CF3"/>
    <w:rsid w:val="00A456B1"/>
    <w:rsid w:val="00A4674D"/>
    <w:rsid w:val="00A547CE"/>
    <w:rsid w:val="00A55FF3"/>
    <w:rsid w:val="00A603CE"/>
    <w:rsid w:val="00A64CF7"/>
    <w:rsid w:val="00A72B33"/>
    <w:rsid w:val="00A821EA"/>
    <w:rsid w:val="00A8721E"/>
    <w:rsid w:val="00A92495"/>
    <w:rsid w:val="00A95601"/>
    <w:rsid w:val="00AA5160"/>
    <w:rsid w:val="00AA5899"/>
    <w:rsid w:val="00AB0589"/>
    <w:rsid w:val="00AB75A3"/>
    <w:rsid w:val="00AB7FC6"/>
    <w:rsid w:val="00AC05AE"/>
    <w:rsid w:val="00AD115D"/>
    <w:rsid w:val="00AD16AE"/>
    <w:rsid w:val="00AD6C53"/>
    <w:rsid w:val="00AD70C0"/>
    <w:rsid w:val="00AE54EF"/>
    <w:rsid w:val="00AE72F4"/>
    <w:rsid w:val="00AF0A4B"/>
    <w:rsid w:val="00AF4BBC"/>
    <w:rsid w:val="00AF65DE"/>
    <w:rsid w:val="00B04278"/>
    <w:rsid w:val="00B12672"/>
    <w:rsid w:val="00B2434D"/>
    <w:rsid w:val="00B24D29"/>
    <w:rsid w:val="00B32216"/>
    <w:rsid w:val="00B34716"/>
    <w:rsid w:val="00B3707E"/>
    <w:rsid w:val="00B55FA2"/>
    <w:rsid w:val="00B61A13"/>
    <w:rsid w:val="00B6232D"/>
    <w:rsid w:val="00B648CA"/>
    <w:rsid w:val="00B64C5B"/>
    <w:rsid w:val="00B66646"/>
    <w:rsid w:val="00B74894"/>
    <w:rsid w:val="00B749FB"/>
    <w:rsid w:val="00B75FF7"/>
    <w:rsid w:val="00B82B83"/>
    <w:rsid w:val="00B909F7"/>
    <w:rsid w:val="00B96A24"/>
    <w:rsid w:val="00BA315C"/>
    <w:rsid w:val="00BA677D"/>
    <w:rsid w:val="00BA6FDB"/>
    <w:rsid w:val="00BB02ED"/>
    <w:rsid w:val="00BB3CBF"/>
    <w:rsid w:val="00BB5132"/>
    <w:rsid w:val="00BC31F9"/>
    <w:rsid w:val="00BC6F83"/>
    <w:rsid w:val="00BC704C"/>
    <w:rsid w:val="00BD15E1"/>
    <w:rsid w:val="00BD34B4"/>
    <w:rsid w:val="00BE26B4"/>
    <w:rsid w:val="00BF2C5D"/>
    <w:rsid w:val="00BF31E3"/>
    <w:rsid w:val="00BF3936"/>
    <w:rsid w:val="00BF5F1C"/>
    <w:rsid w:val="00C07731"/>
    <w:rsid w:val="00C11C1A"/>
    <w:rsid w:val="00C17E83"/>
    <w:rsid w:val="00C218A9"/>
    <w:rsid w:val="00C261F4"/>
    <w:rsid w:val="00C36905"/>
    <w:rsid w:val="00C40BE6"/>
    <w:rsid w:val="00C47EE0"/>
    <w:rsid w:val="00C534CA"/>
    <w:rsid w:val="00C63006"/>
    <w:rsid w:val="00C67568"/>
    <w:rsid w:val="00C7007B"/>
    <w:rsid w:val="00C71871"/>
    <w:rsid w:val="00C724F1"/>
    <w:rsid w:val="00C735F1"/>
    <w:rsid w:val="00C74682"/>
    <w:rsid w:val="00C913B6"/>
    <w:rsid w:val="00C91C5E"/>
    <w:rsid w:val="00C92E44"/>
    <w:rsid w:val="00CA6EA3"/>
    <w:rsid w:val="00CB15A7"/>
    <w:rsid w:val="00CB6D97"/>
    <w:rsid w:val="00CC09CE"/>
    <w:rsid w:val="00CD7B54"/>
    <w:rsid w:val="00CE0C9D"/>
    <w:rsid w:val="00CE1FF5"/>
    <w:rsid w:val="00D10682"/>
    <w:rsid w:val="00D134C5"/>
    <w:rsid w:val="00D23CDC"/>
    <w:rsid w:val="00D26593"/>
    <w:rsid w:val="00D268EB"/>
    <w:rsid w:val="00D26CFF"/>
    <w:rsid w:val="00D274C6"/>
    <w:rsid w:val="00D37270"/>
    <w:rsid w:val="00D446F1"/>
    <w:rsid w:val="00D456D8"/>
    <w:rsid w:val="00D45A0E"/>
    <w:rsid w:val="00D4645D"/>
    <w:rsid w:val="00D4758C"/>
    <w:rsid w:val="00D50169"/>
    <w:rsid w:val="00D5391C"/>
    <w:rsid w:val="00D55FAB"/>
    <w:rsid w:val="00D56786"/>
    <w:rsid w:val="00D61EAB"/>
    <w:rsid w:val="00D701D3"/>
    <w:rsid w:val="00D70E8C"/>
    <w:rsid w:val="00D724F9"/>
    <w:rsid w:val="00D7445F"/>
    <w:rsid w:val="00D77422"/>
    <w:rsid w:val="00D91E8D"/>
    <w:rsid w:val="00D92B1D"/>
    <w:rsid w:val="00DB0323"/>
    <w:rsid w:val="00DB1FA7"/>
    <w:rsid w:val="00DB3BFC"/>
    <w:rsid w:val="00DC0E31"/>
    <w:rsid w:val="00DC1C0D"/>
    <w:rsid w:val="00DC70D0"/>
    <w:rsid w:val="00DC7DD6"/>
    <w:rsid w:val="00DD2FB7"/>
    <w:rsid w:val="00DD3971"/>
    <w:rsid w:val="00DE2A3F"/>
    <w:rsid w:val="00DF5F45"/>
    <w:rsid w:val="00E03E65"/>
    <w:rsid w:val="00E13146"/>
    <w:rsid w:val="00E174FC"/>
    <w:rsid w:val="00E20070"/>
    <w:rsid w:val="00E20994"/>
    <w:rsid w:val="00E22124"/>
    <w:rsid w:val="00E261AD"/>
    <w:rsid w:val="00E324C0"/>
    <w:rsid w:val="00E40344"/>
    <w:rsid w:val="00E46D61"/>
    <w:rsid w:val="00E56C7E"/>
    <w:rsid w:val="00E576BD"/>
    <w:rsid w:val="00E57BE9"/>
    <w:rsid w:val="00E604D6"/>
    <w:rsid w:val="00E67086"/>
    <w:rsid w:val="00E857E4"/>
    <w:rsid w:val="00E85B05"/>
    <w:rsid w:val="00E9139D"/>
    <w:rsid w:val="00E92487"/>
    <w:rsid w:val="00EA26E5"/>
    <w:rsid w:val="00EA31A8"/>
    <w:rsid w:val="00EA3B02"/>
    <w:rsid w:val="00EA5A59"/>
    <w:rsid w:val="00EA6213"/>
    <w:rsid w:val="00EA7183"/>
    <w:rsid w:val="00EB0C39"/>
    <w:rsid w:val="00EB3301"/>
    <w:rsid w:val="00EC205E"/>
    <w:rsid w:val="00EE2068"/>
    <w:rsid w:val="00EE4A18"/>
    <w:rsid w:val="00EF1F69"/>
    <w:rsid w:val="00EF61D1"/>
    <w:rsid w:val="00F05333"/>
    <w:rsid w:val="00F1311C"/>
    <w:rsid w:val="00F154D0"/>
    <w:rsid w:val="00F261D6"/>
    <w:rsid w:val="00F26D45"/>
    <w:rsid w:val="00F30C84"/>
    <w:rsid w:val="00F35704"/>
    <w:rsid w:val="00F35911"/>
    <w:rsid w:val="00F35DD7"/>
    <w:rsid w:val="00F42D43"/>
    <w:rsid w:val="00F463C9"/>
    <w:rsid w:val="00F57965"/>
    <w:rsid w:val="00F71810"/>
    <w:rsid w:val="00F72ABE"/>
    <w:rsid w:val="00F72B1B"/>
    <w:rsid w:val="00F7596C"/>
    <w:rsid w:val="00F75F2B"/>
    <w:rsid w:val="00F77E12"/>
    <w:rsid w:val="00F814DE"/>
    <w:rsid w:val="00F86EE6"/>
    <w:rsid w:val="00F90045"/>
    <w:rsid w:val="00F925FE"/>
    <w:rsid w:val="00F959A1"/>
    <w:rsid w:val="00FA0472"/>
    <w:rsid w:val="00FA28D1"/>
    <w:rsid w:val="00FA6558"/>
    <w:rsid w:val="00FB2665"/>
    <w:rsid w:val="00FC3DE0"/>
    <w:rsid w:val="00FC5269"/>
    <w:rsid w:val="00FC61FD"/>
    <w:rsid w:val="00FD2C8C"/>
    <w:rsid w:val="00FD489B"/>
    <w:rsid w:val="00FD530D"/>
    <w:rsid w:val="00FD6F1A"/>
    <w:rsid w:val="00FD791D"/>
    <w:rsid w:val="00FE0217"/>
    <w:rsid w:val="00FE4A8C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7F19D"/>
  <w15:chartTrackingRefBased/>
  <w15:docId w15:val="{1BB0CC9F-A3A6-4E77-95C5-571467F1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9112F"/>
    <w:rPr>
      <w:rFonts w:ascii="Arial" w:eastAsia="Times New Roman" w:hAnsi="Arial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1E02F3"/>
    <w:rPr>
      <w:rFonts w:ascii="Times New Roman" w:eastAsia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paragraph" w:customStyle="1" w:styleId="3GPPHeader">
    <w:name w:val="3GPP_Header"/>
    <w:basedOn w:val="BodyText"/>
    <w:rsid w:val="001F02DD"/>
    <w:pPr>
      <w:tabs>
        <w:tab w:val="left" w:pos="1701"/>
        <w:tab w:val="right" w:pos="9639"/>
      </w:tabs>
      <w:spacing w:before="0" w:after="240" w:line="259" w:lineRule="auto"/>
    </w:pPr>
    <w:rPr>
      <w:rFonts w:eastAsiaTheme="minorHAnsi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02DD"/>
  </w:style>
  <w:style w:type="character" w:customStyle="1" w:styleId="BodyTextChar">
    <w:name w:val="Body Text Char"/>
    <w:basedOn w:val="DefaultParagraphFont"/>
    <w:link w:val="BodyText"/>
    <w:uiPriority w:val="99"/>
    <w:semiHidden/>
    <w:rsid w:val="001F02DD"/>
    <w:rPr>
      <w:rFonts w:ascii="Arial" w:eastAsia="Times New Roman" w:hAnsi="Arial"/>
    </w:rPr>
  </w:style>
  <w:style w:type="paragraph" w:customStyle="1" w:styleId="3GPPNormalText">
    <w:name w:val="3GPP Normal Text"/>
    <w:basedOn w:val="BodyText"/>
    <w:link w:val="3GPPNormalTextChar"/>
    <w:qFormat/>
    <w:rsid w:val="002013B3"/>
    <w:pPr>
      <w:spacing w:before="0"/>
      <w:ind w:left="720" w:hanging="720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2013B3"/>
    <w:rPr>
      <w:rFonts w:ascii="Times New Roman" w:eastAsia="MS Mincho" w:hAnsi="Times New Roman"/>
      <w:sz w:val="22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36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rsid w:val="002F4C25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2F4C25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1">
    <w:name w:val="B1"/>
    <w:basedOn w:val="List"/>
    <w:link w:val="B1Char"/>
    <w:rsid w:val="008403AA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8403AA"/>
    <w:pPr>
      <w:ind w:left="360" w:hanging="360"/>
      <w:contextualSpacing/>
    </w:pPr>
  </w:style>
  <w:style w:type="character" w:customStyle="1" w:styleId="B1Char">
    <w:name w:val="B1 Char"/>
    <w:link w:val="B1"/>
    <w:rsid w:val="008403AA"/>
    <w:rPr>
      <w:rFonts w:ascii="Times New Roman" w:eastAsia="Times New Roman" w:hAnsi="Times New Roman"/>
      <w:lang w:val="x-none" w:eastAsia="x-none"/>
    </w:rPr>
  </w:style>
  <w:style w:type="paragraph" w:customStyle="1" w:styleId="Text">
    <w:name w:val="Text"/>
    <w:rsid w:val="00B666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</w:rPr>
  </w:style>
  <w:style w:type="character" w:customStyle="1" w:styleId="THChar">
    <w:name w:val="TH Char"/>
    <w:link w:val="TH"/>
    <w:qFormat/>
    <w:locked/>
    <w:rsid w:val="008A00F0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8A00F0"/>
    <w:pPr>
      <w:keepNext/>
      <w:keepLines/>
      <w:overflowPunct w:val="0"/>
      <w:autoSpaceDE w:val="0"/>
      <w:autoSpaceDN w:val="0"/>
      <w:adjustRightInd w:val="0"/>
      <w:spacing w:after="180"/>
      <w:jc w:val="center"/>
    </w:pPr>
    <w:rPr>
      <w:rFonts w:cs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2.bin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50" Type="http://schemas.openxmlformats.org/officeDocument/2006/relationships/oleObject" Target="embeddings/oleObject33.bin"/><Relationship Id="rId55" Type="http://schemas.openxmlformats.org/officeDocument/2006/relationships/oleObject" Target="embeddings/oleObject38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3" Type="http://schemas.openxmlformats.org/officeDocument/2006/relationships/oleObject" Target="embeddings/oleObject36.bin"/><Relationship Id="rId58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56" Type="http://schemas.openxmlformats.org/officeDocument/2006/relationships/oleObject" Target="embeddings/oleObject39.bin"/><Relationship Id="rId8" Type="http://schemas.openxmlformats.org/officeDocument/2006/relationships/image" Target="media/image1.png"/><Relationship Id="rId51" Type="http://schemas.openxmlformats.org/officeDocument/2006/relationships/oleObject" Target="embeddings/oleObject34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59" Type="http://schemas.openxmlformats.org/officeDocument/2006/relationships/oleObject" Target="embeddings/oleObject42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4.bin"/><Relationship Id="rId54" Type="http://schemas.openxmlformats.org/officeDocument/2006/relationships/oleObject" Target="embeddings/oleObject37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4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5.bin"/><Relationship Id="rId60" Type="http://schemas.openxmlformats.org/officeDocument/2006/relationships/oleObject" Target="embeddings/oleObject43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72167-BE21-4C46-97A6-90FF9BE9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12247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dc:description/>
  <cp:lastModifiedBy>NOVLAN, THOMAS D</cp:lastModifiedBy>
  <cp:revision>3</cp:revision>
  <cp:lastPrinted>2018-09-28T20:14:00Z</cp:lastPrinted>
  <dcterms:created xsi:type="dcterms:W3CDTF">2019-11-08T20:24:00Z</dcterms:created>
  <dcterms:modified xsi:type="dcterms:W3CDTF">2019-11-08T21:14:00Z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